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firstLine="643" w:firstLineChars="200"/>
        <w:jc w:val="center"/>
        <w:rPr>
          <w:rFonts w:hAnsi="宋体" w:cs="宋体"/>
          <w:b/>
          <w:color w:val="auto"/>
          <w:sz w:val="48"/>
        </w:rPr>
      </w:pPr>
      <w:r>
        <w:rPr>
          <w:rFonts w:hAnsi="宋体" w:cs="宋体"/>
          <w:b/>
          <w:color w:val="auto"/>
          <w:sz w:val="32"/>
          <w:szCs w:val="32"/>
        </w:rPr>
        <w:t xml:space="preserve">                       </w:t>
      </w:r>
      <w:r>
        <w:rPr>
          <w:rFonts w:hAnsi="宋体" w:cs="宋体"/>
          <w:b/>
          <w:color w:val="auto"/>
          <w:sz w:val="24"/>
          <w:szCs w:val="24"/>
        </w:rPr>
        <w:t>合同编号：</w:t>
      </w:r>
      <w:r>
        <w:rPr>
          <w:rFonts w:hAnsi="宋体" w:cs="宋体"/>
          <w:b/>
          <w:color w:val="auto"/>
          <w:sz w:val="24"/>
          <w:szCs w:val="24"/>
          <w:u w:val="single"/>
        </w:rPr>
        <w:t xml:space="preserve">            </w:t>
      </w:r>
    </w:p>
    <w:p>
      <w:pPr>
        <w:pStyle w:val="6"/>
        <w:ind w:firstLine="964" w:firstLineChars="200"/>
        <w:jc w:val="center"/>
        <w:rPr>
          <w:rFonts w:hAnsi="宋体" w:cs="宋体"/>
          <w:b/>
          <w:color w:val="auto"/>
          <w:sz w:val="48"/>
        </w:rPr>
      </w:pPr>
    </w:p>
    <w:p>
      <w:pPr>
        <w:pStyle w:val="6"/>
        <w:ind w:firstLine="964" w:firstLineChars="200"/>
        <w:jc w:val="center"/>
        <w:rPr>
          <w:rFonts w:hAnsi="宋体" w:cs="宋体"/>
          <w:b/>
          <w:color w:val="auto"/>
          <w:sz w:val="48"/>
        </w:rPr>
      </w:pPr>
    </w:p>
    <w:p>
      <w:pPr>
        <w:pStyle w:val="6"/>
        <w:ind w:firstLine="964" w:firstLineChars="200"/>
        <w:jc w:val="center"/>
        <w:rPr>
          <w:rFonts w:hAnsi="宋体" w:cs="宋体"/>
          <w:b/>
          <w:color w:val="auto"/>
          <w:sz w:val="48"/>
          <w:szCs w:val="48"/>
        </w:rPr>
      </w:pPr>
    </w:p>
    <w:p>
      <w:pPr>
        <w:pStyle w:val="6"/>
        <w:ind w:firstLine="964" w:firstLineChars="200"/>
        <w:jc w:val="center"/>
        <w:rPr>
          <w:rFonts w:hAnsi="宋体" w:cs="宋体"/>
          <w:b/>
          <w:color w:val="auto"/>
          <w:sz w:val="48"/>
          <w:szCs w:val="48"/>
        </w:rPr>
      </w:pPr>
      <w:r>
        <w:rPr>
          <w:rFonts w:hAnsi="宋体" w:cs="宋体"/>
          <w:b/>
          <w:color w:val="auto"/>
          <w:sz w:val="48"/>
          <w:szCs w:val="48"/>
        </w:rPr>
        <w:t>政府采购合同（货物类）</w:t>
      </w:r>
    </w:p>
    <w:p>
      <w:pPr>
        <w:pStyle w:val="6"/>
        <w:ind w:firstLine="602" w:firstLineChars="200"/>
        <w:jc w:val="center"/>
        <w:rPr>
          <w:rFonts w:hAnsi="宋体" w:cs="宋体"/>
          <w:b/>
          <w:color w:val="auto"/>
          <w:sz w:val="30"/>
          <w:szCs w:val="30"/>
        </w:rPr>
      </w:pPr>
    </w:p>
    <w:p>
      <w:pPr>
        <w:pStyle w:val="6"/>
        <w:ind w:firstLine="880" w:firstLineChars="200"/>
        <w:rPr>
          <w:rFonts w:hAnsi="宋体" w:cs="宋体"/>
          <w:color w:val="auto"/>
          <w:sz w:val="44"/>
        </w:rPr>
      </w:pPr>
    </w:p>
    <w:p>
      <w:pPr>
        <w:pStyle w:val="6"/>
        <w:ind w:firstLine="880" w:firstLineChars="200"/>
        <w:rPr>
          <w:rFonts w:hAnsi="宋体" w:cs="宋体"/>
          <w:color w:val="auto"/>
          <w:sz w:val="44"/>
        </w:rPr>
      </w:pPr>
    </w:p>
    <w:p>
      <w:pPr>
        <w:pStyle w:val="6"/>
        <w:ind w:firstLine="880" w:firstLineChars="200"/>
        <w:rPr>
          <w:rFonts w:hAnsi="宋体" w:cs="宋体"/>
          <w:color w:val="auto"/>
          <w:sz w:val="44"/>
        </w:rPr>
      </w:pPr>
    </w:p>
    <w:p>
      <w:pPr>
        <w:pStyle w:val="6"/>
        <w:ind w:firstLine="880" w:firstLineChars="200"/>
        <w:rPr>
          <w:rFonts w:hAnsi="宋体" w:cs="宋体"/>
          <w:color w:val="auto"/>
          <w:sz w:val="44"/>
        </w:rPr>
      </w:pPr>
    </w:p>
    <w:p>
      <w:pPr>
        <w:pStyle w:val="6"/>
        <w:ind w:firstLine="880" w:firstLineChars="200"/>
        <w:rPr>
          <w:rFonts w:hAnsi="宋体" w:cs="宋体"/>
          <w:color w:val="auto"/>
          <w:sz w:val="44"/>
        </w:rPr>
      </w:pPr>
    </w:p>
    <w:p>
      <w:pPr>
        <w:pStyle w:val="6"/>
        <w:rPr>
          <w:rFonts w:hAnsi="宋体" w:cs="宋体"/>
          <w:color w:val="auto"/>
          <w:sz w:val="44"/>
        </w:rPr>
      </w:pPr>
    </w:p>
    <w:p>
      <w:pPr>
        <w:pStyle w:val="6"/>
        <w:ind w:firstLine="880" w:firstLineChars="200"/>
        <w:rPr>
          <w:rFonts w:hAnsi="宋体" w:cs="宋体"/>
          <w:color w:val="auto"/>
          <w:sz w:val="44"/>
        </w:rPr>
      </w:pPr>
    </w:p>
    <w:p>
      <w:pPr>
        <w:pStyle w:val="6"/>
        <w:snapToGrid w:val="0"/>
        <w:ind w:firstLine="643" w:firstLineChars="200"/>
        <w:rPr>
          <w:rFonts w:hAnsi="宋体" w:cs="宋体"/>
          <w:bCs/>
          <w:color w:val="auto"/>
          <w:sz w:val="32"/>
          <w:szCs w:val="32"/>
          <w:u w:val="single"/>
        </w:rPr>
      </w:pPr>
      <w:r>
        <w:rPr>
          <w:rFonts w:hAnsi="宋体" w:cs="宋体"/>
          <w:b/>
          <w:color w:val="auto"/>
          <w:sz w:val="32"/>
          <w:szCs w:val="32"/>
        </w:rPr>
        <w:t>项目名称：</w:t>
      </w:r>
      <w:r>
        <w:rPr>
          <w:rFonts w:hAnsi="宋体" w:cs="宋体"/>
          <w:bCs/>
          <w:color w:val="auto"/>
          <w:sz w:val="32"/>
          <w:szCs w:val="32"/>
          <w:u w:val="single"/>
        </w:rPr>
        <w:t xml:space="preserve">      </w:t>
      </w:r>
      <w:r>
        <w:rPr>
          <w:rFonts w:hint="eastAsia" w:hAnsi="宋体" w:cs="宋体"/>
          <w:bCs/>
          <w:color w:val="auto"/>
          <w:sz w:val="32"/>
          <w:szCs w:val="32"/>
          <w:u w:val="single"/>
          <w:lang w:val="en-US" w:eastAsia="zh-CN"/>
        </w:rPr>
        <w:t>古代</w:t>
      </w:r>
      <w:r>
        <w:rPr>
          <w:rFonts w:hAnsi="宋体" w:cs="宋体"/>
          <w:bCs/>
          <w:color w:val="auto"/>
          <w:sz w:val="32"/>
          <w:szCs w:val="32"/>
          <w:u w:val="single"/>
        </w:rPr>
        <w:t xml:space="preserve">木帆船模型制作                              </w:t>
      </w:r>
    </w:p>
    <w:p>
      <w:pPr>
        <w:pStyle w:val="6"/>
        <w:snapToGrid w:val="0"/>
        <w:ind w:firstLine="640" w:firstLineChars="200"/>
        <w:rPr>
          <w:rFonts w:hAnsi="宋体" w:cs="宋体"/>
          <w:bCs/>
          <w:color w:val="auto"/>
          <w:sz w:val="32"/>
          <w:szCs w:val="32"/>
          <w:u w:val="single"/>
        </w:rPr>
      </w:pPr>
    </w:p>
    <w:p>
      <w:pPr>
        <w:pStyle w:val="6"/>
        <w:snapToGrid w:val="0"/>
        <w:ind w:firstLine="643" w:firstLineChars="200"/>
        <w:rPr>
          <w:rFonts w:hAnsi="宋体" w:cs="宋体"/>
          <w:b/>
          <w:color w:val="auto"/>
          <w:sz w:val="32"/>
          <w:szCs w:val="32"/>
          <w:u w:val="thick"/>
        </w:rPr>
      </w:pPr>
      <w:r>
        <w:rPr>
          <w:rFonts w:hAnsi="宋体" w:cs="宋体"/>
          <w:b/>
          <w:color w:val="auto"/>
          <w:sz w:val="32"/>
          <w:szCs w:val="32"/>
        </w:rPr>
        <w:t>项目地点：</w:t>
      </w:r>
      <w:r>
        <w:rPr>
          <w:rFonts w:hAnsi="宋体" w:cs="宋体"/>
          <w:bCs/>
          <w:color w:val="auto"/>
          <w:sz w:val="32"/>
          <w:szCs w:val="32"/>
          <w:u w:val="single"/>
        </w:rPr>
        <w:t xml:space="preserve">      </w:t>
      </w:r>
      <w:r>
        <w:rPr>
          <w:rFonts w:hint="eastAsia" w:hAnsi="宋体" w:cs="宋体"/>
          <w:bCs/>
          <w:color w:val="auto"/>
          <w:sz w:val="32"/>
          <w:szCs w:val="32"/>
          <w:u w:val="single"/>
          <w:lang w:val="en-US" w:eastAsia="zh-CN"/>
        </w:rPr>
        <w:t>山东省</w:t>
      </w:r>
      <w:r>
        <w:rPr>
          <w:rFonts w:hAnsi="宋体" w:cs="宋体"/>
          <w:bCs/>
          <w:color w:val="auto"/>
          <w:sz w:val="32"/>
          <w:szCs w:val="32"/>
          <w:u w:val="single"/>
        </w:rPr>
        <w:t>青岛</w:t>
      </w:r>
      <w:r>
        <w:rPr>
          <w:rFonts w:hint="eastAsia" w:hAnsi="宋体" w:cs="宋体"/>
          <w:bCs/>
          <w:color w:val="auto"/>
          <w:sz w:val="32"/>
          <w:szCs w:val="32"/>
          <w:u w:val="single"/>
          <w:lang w:val="en-US" w:eastAsia="zh-CN"/>
        </w:rPr>
        <w:t>市</w:t>
      </w:r>
      <w:r>
        <w:rPr>
          <w:rFonts w:hAnsi="宋体" w:cs="宋体"/>
          <w:bCs/>
          <w:color w:val="auto"/>
          <w:sz w:val="32"/>
          <w:szCs w:val="32"/>
          <w:u w:val="single"/>
        </w:rPr>
        <w:t xml:space="preserve">                      </w:t>
      </w:r>
    </w:p>
    <w:p>
      <w:pPr>
        <w:pStyle w:val="6"/>
        <w:snapToGrid w:val="0"/>
        <w:ind w:firstLine="643" w:firstLineChars="200"/>
        <w:rPr>
          <w:rFonts w:hAnsi="宋体" w:cs="宋体"/>
          <w:b/>
          <w:color w:val="auto"/>
          <w:sz w:val="32"/>
          <w:szCs w:val="32"/>
          <w:u w:val="thick"/>
        </w:rPr>
      </w:pPr>
    </w:p>
    <w:p>
      <w:pPr>
        <w:pStyle w:val="6"/>
        <w:snapToGrid w:val="0"/>
        <w:ind w:firstLine="643" w:firstLineChars="200"/>
        <w:rPr>
          <w:rFonts w:hAnsi="宋体" w:cs="宋体"/>
          <w:b/>
          <w:color w:val="auto"/>
          <w:sz w:val="32"/>
          <w:szCs w:val="32"/>
          <w:u w:val="thick"/>
        </w:rPr>
      </w:pPr>
      <w:r>
        <w:rPr>
          <w:rFonts w:hAnsi="宋体" w:cs="宋体"/>
          <w:b/>
          <w:color w:val="auto"/>
          <w:sz w:val="32"/>
          <w:szCs w:val="32"/>
        </w:rPr>
        <w:t>甲方：</w:t>
      </w:r>
      <w:r>
        <w:rPr>
          <w:rFonts w:hAnsi="宋体" w:cs="宋体"/>
          <w:bCs/>
          <w:color w:val="auto"/>
          <w:sz w:val="32"/>
          <w:szCs w:val="32"/>
          <w:u w:val="single"/>
        </w:rPr>
        <w:t xml:space="preserve">          国家文物局考古研究中心                        </w:t>
      </w:r>
    </w:p>
    <w:p>
      <w:pPr>
        <w:pStyle w:val="6"/>
        <w:snapToGrid w:val="0"/>
        <w:ind w:firstLine="643" w:firstLineChars="200"/>
        <w:rPr>
          <w:rFonts w:hAnsi="宋体" w:cs="宋体"/>
          <w:b/>
          <w:color w:val="auto"/>
          <w:sz w:val="32"/>
          <w:szCs w:val="32"/>
        </w:rPr>
      </w:pPr>
    </w:p>
    <w:p>
      <w:pPr>
        <w:pStyle w:val="6"/>
        <w:snapToGrid w:val="0"/>
        <w:ind w:firstLine="643" w:firstLineChars="200"/>
        <w:rPr>
          <w:rFonts w:hAnsi="宋体" w:cs="宋体"/>
          <w:b/>
          <w:color w:val="auto"/>
          <w:sz w:val="32"/>
          <w:szCs w:val="32"/>
          <w:u w:val="thick"/>
        </w:rPr>
      </w:pPr>
      <w:r>
        <w:rPr>
          <w:rFonts w:hAnsi="宋体" w:cs="宋体"/>
          <w:b/>
          <w:color w:val="auto"/>
          <w:sz w:val="32"/>
          <w:szCs w:val="32"/>
        </w:rPr>
        <w:t>乙方：</w:t>
      </w:r>
      <w:r>
        <w:rPr>
          <w:rFonts w:hAnsi="宋体" w:cs="宋体"/>
          <w:b/>
          <w:color w:val="auto"/>
          <w:sz w:val="32"/>
          <w:szCs w:val="32"/>
          <w:u w:val="single"/>
        </w:rPr>
        <w:t xml:space="preserve"> </w:t>
      </w:r>
      <w:r>
        <w:rPr>
          <w:rFonts w:hAnsi="宋体" w:cs="宋体"/>
          <w:bCs/>
          <w:color w:val="auto"/>
          <w:sz w:val="32"/>
          <w:szCs w:val="32"/>
          <w:u w:val="single"/>
        </w:rPr>
        <w:t xml:space="preserve">                                </w:t>
      </w:r>
    </w:p>
    <w:p>
      <w:pPr>
        <w:pStyle w:val="6"/>
        <w:snapToGrid w:val="0"/>
        <w:ind w:firstLine="643" w:firstLineChars="200"/>
        <w:rPr>
          <w:rFonts w:hAnsi="宋体" w:cs="宋体"/>
          <w:b/>
          <w:color w:val="auto"/>
          <w:sz w:val="32"/>
          <w:szCs w:val="32"/>
        </w:rPr>
      </w:pPr>
    </w:p>
    <w:p>
      <w:pPr>
        <w:pStyle w:val="6"/>
        <w:snapToGrid w:val="0"/>
        <w:ind w:firstLine="643" w:firstLineChars="200"/>
        <w:rPr>
          <w:rFonts w:hAnsi="宋体" w:cs="宋体"/>
          <w:b/>
          <w:color w:val="auto"/>
          <w:sz w:val="32"/>
          <w:szCs w:val="32"/>
        </w:rPr>
      </w:pPr>
      <w:r>
        <w:rPr>
          <w:rFonts w:hAnsi="宋体" w:cs="宋体"/>
          <w:b/>
          <w:color w:val="auto"/>
          <w:sz w:val="32"/>
          <w:szCs w:val="32"/>
        </w:rPr>
        <w:t>签订日期：</w:t>
      </w:r>
      <w:r>
        <w:rPr>
          <w:rFonts w:hAnsi="宋体" w:cs="宋体"/>
          <w:bCs/>
          <w:color w:val="auto"/>
          <w:sz w:val="32"/>
          <w:szCs w:val="32"/>
          <w:u w:val="single"/>
        </w:rPr>
        <w:t xml:space="preserve">       </w:t>
      </w:r>
      <w:r>
        <w:rPr>
          <w:rFonts w:hAnsi="宋体" w:cs="宋体"/>
          <w:color w:val="auto"/>
          <w:sz w:val="32"/>
          <w:szCs w:val="32"/>
        </w:rPr>
        <w:t>年</w:t>
      </w:r>
      <w:r>
        <w:rPr>
          <w:rFonts w:hAnsi="宋体" w:cs="宋体"/>
          <w:bCs/>
          <w:color w:val="auto"/>
          <w:sz w:val="32"/>
          <w:szCs w:val="32"/>
          <w:u w:val="single"/>
        </w:rPr>
        <w:t xml:space="preserve">      </w:t>
      </w:r>
      <w:r>
        <w:rPr>
          <w:rFonts w:hAnsi="宋体" w:cs="宋体"/>
          <w:color w:val="auto"/>
          <w:sz w:val="32"/>
          <w:szCs w:val="32"/>
        </w:rPr>
        <w:t>月</w:t>
      </w:r>
      <w:r>
        <w:rPr>
          <w:rFonts w:hAnsi="宋体" w:cs="宋体"/>
          <w:bCs/>
          <w:color w:val="auto"/>
          <w:sz w:val="32"/>
          <w:szCs w:val="32"/>
          <w:u w:val="single"/>
        </w:rPr>
        <w:t xml:space="preserve">      </w:t>
      </w:r>
      <w:r>
        <w:rPr>
          <w:rFonts w:hAnsi="宋体" w:cs="宋体"/>
          <w:color w:val="auto"/>
          <w:sz w:val="32"/>
          <w:szCs w:val="32"/>
        </w:rPr>
        <w:t>日</w:t>
      </w:r>
    </w:p>
    <w:p>
      <w:pPr>
        <w:pStyle w:val="6"/>
        <w:snapToGrid w:val="0"/>
        <w:ind w:firstLine="643" w:firstLineChars="200"/>
        <w:rPr>
          <w:rFonts w:hAnsi="宋体" w:cs="宋体"/>
          <w:b/>
          <w:color w:val="auto"/>
          <w:sz w:val="32"/>
          <w:szCs w:val="32"/>
        </w:rPr>
      </w:pPr>
    </w:p>
    <w:p>
      <w:pPr>
        <w:pStyle w:val="6"/>
        <w:snapToGrid w:val="0"/>
        <w:ind w:firstLine="643" w:firstLineChars="200"/>
        <w:rPr>
          <w:rFonts w:hAnsi="宋体" w:cs="宋体"/>
          <w:bCs/>
          <w:color w:val="auto"/>
          <w:sz w:val="32"/>
          <w:szCs w:val="32"/>
          <w:u w:val="single"/>
        </w:rPr>
      </w:pPr>
      <w:r>
        <w:rPr>
          <w:rFonts w:hAnsi="宋体" w:cs="宋体"/>
          <w:b/>
          <w:color w:val="auto"/>
          <w:sz w:val="32"/>
          <w:szCs w:val="32"/>
        </w:rPr>
        <w:t xml:space="preserve">签订地点： </w:t>
      </w:r>
      <w:r>
        <w:rPr>
          <w:rFonts w:hAnsi="宋体" w:cs="宋体"/>
          <w:bCs/>
          <w:color w:val="auto"/>
          <w:sz w:val="32"/>
          <w:szCs w:val="32"/>
          <w:u w:val="single"/>
        </w:rPr>
        <w:t xml:space="preserve">             </w:t>
      </w:r>
      <w:r>
        <w:rPr>
          <w:rFonts w:hint="eastAsia" w:hAnsi="宋体" w:cs="宋体"/>
          <w:bCs/>
          <w:color w:val="auto"/>
          <w:sz w:val="32"/>
          <w:szCs w:val="32"/>
          <w:u w:val="single"/>
          <w:lang w:val="en-US" w:eastAsia="zh-CN"/>
        </w:rPr>
        <w:t>北京</w:t>
      </w:r>
      <w:r>
        <w:rPr>
          <w:rFonts w:hAnsi="宋体" w:cs="宋体"/>
          <w:bCs/>
          <w:color w:val="auto"/>
          <w:sz w:val="32"/>
          <w:szCs w:val="32"/>
          <w:u w:val="single"/>
        </w:rPr>
        <w:t xml:space="preserve">                         </w:t>
      </w:r>
    </w:p>
    <w:p>
      <w:pPr>
        <w:rPr>
          <w:color w:val="auto"/>
        </w:rPr>
      </w:pPr>
    </w:p>
    <w:p>
      <w:pPr>
        <w:rPr>
          <w:color w:val="auto"/>
        </w:rPr>
      </w:pPr>
    </w:p>
    <w:p>
      <w:pPr>
        <w:rPr>
          <w:color w:val="auto"/>
        </w:rPr>
      </w:pPr>
    </w:p>
    <w:p>
      <w:pPr>
        <w:rPr>
          <w:color w:val="auto"/>
        </w:rPr>
      </w:pPr>
    </w:p>
    <w:p>
      <w:pPr>
        <w:rPr>
          <w:color w:val="auto"/>
        </w:rPr>
      </w:pPr>
    </w:p>
    <w:p>
      <w:pPr>
        <w:widowControl/>
        <w:spacing w:line="360" w:lineRule="auto"/>
        <w:ind w:firstLine="482" w:firstLineChars="200"/>
        <w:jc w:val="center"/>
        <w:rPr>
          <w:rFonts w:hint="eastAsia" w:ascii="宋体" w:hAnsi="宋体" w:cs="宋体"/>
          <w:b/>
          <w:color w:val="auto"/>
          <w:sz w:val="24"/>
          <w:szCs w:val="24"/>
        </w:rPr>
        <w:sectPr>
          <w:pgSz w:w="11906" w:h="16838"/>
          <w:pgMar w:top="1440" w:right="1800" w:bottom="1440" w:left="1800" w:header="851" w:footer="992" w:gutter="0"/>
          <w:cols w:space="425" w:num="1"/>
          <w:docGrid w:type="lines" w:linePitch="312" w:charSpace="0"/>
        </w:sectPr>
      </w:pPr>
    </w:p>
    <w:p>
      <w:pPr>
        <w:widowControl/>
        <w:spacing w:line="360" w:lineRule="auto"/>
        <w:ind w:firstLine="723" w:firstLineChars="200"/>
        <w:jc w:val="center"/>
        <w:rPr>
          <w:rFonts w:hint="eastAsia" w:ascii="宋体" w:hAnsi="宋体" w:cs="宋体"/>
          <w:b/>
          <w:color w:val="auto"/>
          <w:sz w:val="36"/>
          <w:szCs w:val="36"/>
        </w:rPr>
      </w:pPr>
      <w:r>
        <w:rPr>
          <w:rFonts w:hint="eastAsia" w:ascii="宋体" w:hAnsi="宋体" w:cs="宋体"/>
          <w:b/>
          <w:color w:val="auto"/>
          <w:sz w:val="36"/>
          <w:szCs w:val="36"/>
        </w:rPr>
        <w:t>合</w:t>
      </w:r>
      <w:r>
        <w:rPr>
          <w:rFonts w:ascii="宋体" w:hAnsi="宋体" w:cs="宋体"/>
          <w:b/>
          <w:color w:val="auto"/>
          <w:sz w:val="36"/>
          <w:szCs w:val="36"/>
        </w:rPr>
        <w:t xml:space="preserve"> </w:t>
      </w:r>
      <w:r>
        <w:rPr>
          <w:rFonts w:hint="eastAsia" w:ascii="宋体" w:hAnsi="宋体" w:cs="宋体"/>
          <w:b/>
          <w:color w:val="auto"/>
          <w:sz w:val="36"/>
          <w:szCs w:val="36"/>
        </w:rPr>
        <w:t>同</w:t>
      </w:r>
      <w:r>
        <w:rPr>
          <w:rFonts w:ascii="宋体" w:hAnsi="宋体" w:cs="宋体"/>
          <w:b/>
          <w:color w:val="auto"/>
          <w:sz w:val="36"/>
          <w:szCs w:val="36"/>
        </w:rPr>
        <w:t xml:space="preserve"> </w:t>
      </w:r>
      <w:r>
        <w:rPr>
          <w:rFonts w:hint="eastAsia" w:ascii="宋体" w:hAnsi="宋体" w:cs="宋体"/>
          <w:b/>
          <w:color w:val="auto"/>
          <w:sz w:val="36"/>
          <w:szCs w:val="36"/>
        </w:rPr>
        <w:t>书</w:t>
      </w:r>
    </w:p>
    <w:p>
      <w:pPr>
        <w:snapToGrid w:val="0"/>
        <w:spacing w:line="360" w:lineRule="auto"/>
        <w:ind w:firstLine="480" w:firstLineChars="200"/>
        <w:rPr>
          <w:rFonts w:hint="eastAsia" w:ascii="宋体" w:hAnsi="宋体" w:cs="宋体"/>
          <w:color w:val="auto"/>
          <w:sz w:val="24"/>
          <w:szCs w:val="24"/>
        </w:rPr>
      </w:pP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u w:val="single"/>
        </w:rPr>
        <w:t>国家文物局考古研究中心</w:t>
      </w:r>
      <w:r>
        <w:rPr>
          <w:rFonts w:hint="eastAsia" w:ascii="宋体" w:hAnsi="宋体" w:cs="宋体"/>
          <w:color w:val="auto"/>
          <w:sz w:val="24"/>
          <w:szCs w:val="24"/>
        </w:rPr>
        <w:t>(甲方)通过</w:t>
      </w:r>
      <w:r>
        <w:rPr>
          <w:rFonts w:hint="eastAsia" w:ascii="宋体" w:hAnsi="宋体" w:cs="宋体"/>
          <w:color w:val="auto"/>
          <w:sz w:val="24"/>
          <w:szCs w:val="24"/>
          <w:lang w:val="en-US" w:eastAsia="zh-CN"/>
        </w:rPr>
        <w:t>比选采购</w:t>
      </w:r>
      <w:r>
        <w:rPr>
          <w:rFonts w:hint="eastAsia" w:ascii="宋体" w:hAnsi="宋体" w:cs="宋体"/>
          <w:color w:val="auto"/>
          <w:sz w:val="24"/>
          <w:szCs w:val="24"/>
        </w:rPr>
        <w:t>，确定</w:t>
      </w:r>
      <w:r>
        <w:rPr>
          <w:rFonts w:hint="eastAsia" w:ascii="宋体" w:hAnsi="宋体" w:cs="宋体"/>
          <w:color w:val="auto"/>
          <w:sz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(乙方)为</w:t>
      </w:r>
      <w:r>
        <w:rPr>
          <w:rFonts w:hint="eastAsia" w:ascii="宋体" w:hAnsi="宋体" w:cs="宋体"/>
          <w:color w:val="auto"/>
          <w:sz w:val="24"/>
          <w:szCs w:val="24"/>
          <w:u w:val="none"/>
        </w:rPr>
        <w:t>国家文物局考古研究中心</w:t>
      </w:r>
      <w:r>
        <w:rPr>
          <w:rFonts w:hint="eastAsia" w:ascii="宋体" w:hAnsi="宋体" w:cs="宋体"/>
          <w:color w:val="auto"/>
          <w:sz w:val="24"/>
          <w:szCs w:val="24"/>
          <w:u w:val="single"/>
          <w:lang w:val="en-US" w:eastAsia="zh-CN"/>
        </w:rPr>
        <w:t>古代木帆船</w:t>
      </w:r>
      <w:r>
        <w:rPr>
          <w:rFonts w:hint="eastAsia" w:ascii="宋体" w:hAnsi="宋体" w:cs="宋体"/>
          <w:color w:val="auto"/>
          <w:sz w:val="24"/>
          <w:szCs w:val="24"/>
          <w:u w:val="single"/>
        </w:rPr>
        <w:t>模型制作</w:t>
      </w:r>
      <w:r>
        <w:rPr>
          <w:rFonts w:hint="eastAsia" w:ascii="宋体" w:hAnsi="宋体" w:cs="宋体"/>
          <w:color w:val="auto"/>
          <w:sz w:val="24"/>
          <w:szCs w:val="24"/>
          <w:u w:val="none"/>
        </w:rPr>
        <w:t>购置项目</w:t>
      </w:r>
      <w:r>
        <w:rPr>
          <w:rFonts w:hint="eastAsia" w:ascii="宋体" w:hAnsi="宋体" w:cs="宋体"/>
          <w:color w:val="auto"/>
          <w:sz w:val="24"/>
          <w:szCs w:val="24"/>
        </w:rPr>
        <w:t>的中标人/成交人。双方在平等自愿的基础上，同意按照下面的条款和条件，签署本合同。</w:t>
      </w:r>
    </w:p>
    <w:p>
      <w:pPr>
        <w:snapToGrid w:val="0"/>
        <w:spacing w:line="360" w:lineRule="auto"/>
        <w:ind w:firstLine="482" w:firstLineChars="200"/>
        <w:textAlignment w:val="baseline"/>
        <w:rPr>
          <w:rFonts w:hint="eastAsia" w:ascii="宋体" w:hAnsi="宋体" w:cs="宋体"/>
          <w:b/>
          <w:color w:val="auto"/>
          <w:sz w:val="24"/>
          <w:szCs w:val="24"/>
        </w:rPr>
      </w:pPr>
      <w:r>
        <w:rPr>
          <w:rFonts w:hint="eastAsia" w:ascii="宋体" w:hAnsi="宋体" w:cs="宋体"/>
          <w:b/>
          <w:color w:val="auto"/>
          <w:sz w:val="24"/>
          <w:szCs w:val="24"/>
        </w:rPr>
        <w:t>1. 合同文件</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下列文件是合同的组成部分，优先支配地位的次序如下：</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（1）本合同书</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（2）中标通知书/成交通知书（如有）</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（3）合同条款及特殊条款内容</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（4）投标文件(含澄清文件)/报价文件（含澄清文件）（如有）</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（5）招标文件(含招标文件补充通知)/谈判文件（含谈判文件补充通知）（如有）</w:t>
      </w:r>
    </w:p>
    <w:p>
      <w:pPr>
        <w:snapToGrid w:val="0"/>
        <w:spacing w:line="360" w:lineRule="auto"/>
        <w:ind w:firstLine="482" w:firstLineChars="200"/>
        <w:rPr>
          <w:rFonts w:hint="eastAsia" w:ascii="宋体" w:hAnsi="宋体" w:cs="宋体"/>
          <w:color w:val="auto"/>
          <w:sz w:val="24"/>
          <w:szCs w:val="24"/>
        </w:rPr>
      </w:pPr>
      <w:r>
        <w:rPr>
          <w:rFonts w:hint="eastAsia" w:ascii="宋体" w:hAnsi="宋体" w:cs="宋体"/>
          <w:b/>
          <w:color w:val="auto"/>
          <w:sz w:val="24"/>
          <w:szCs w:val="24"/>
        </w:rPr>
        <w:t>2. 采购内容</w:t>
      </w:r>
    </w:p>
    <w:p>
      <w:pPr>
        <w:snapToGrid w:val="0"/>
        <w:spacing w:line="360" w:lineRule="auto"/>
        <w:ind w:firstLine="480" w:firstLineChars="200"/>
        <w:rPr>
          <w:rFonts w:hint="eastAsia" w:ascii="宋体" w:hAnsi="宋体" w:cs="宋体"/>
          <w:color w:val="auto"/>
          <w:sz w:val="24"/>
          <w:szCs w:val="24"/>
          <w:u w:val="single"/>
        </w:rPr>
      </w:pPr>
      <w:r>
        <w:rPr>
          <w:rFonts w:hint="eastAsia" w:ascii="宋体" w:hAnsi="宋体" w:cs="宋体"/>
          <w:color w:val="auto"/>
          <w:sz w:val="24"/>
          <w:szCs w:val="24"/>
        </w:rPr>
        <w:t>本合同采购的具体内容：</w:t>
      </w:r>
      <w:r>
        <w:rPr>
          <w:rFonts w:hint="eastAsia" w:ascii="宋体" w:hAnsi="宋体" w:cs="宋体"/>
          <w:color w:val="auto"/>
          <w:sz w:val="24"/>
          <w:szCs w:val="24"/>
          <w:u w:val="single"/>
        </w:rPr>
        <w:t>为采购人提供</w:t>
      </w:r>
      <w:r>
        <w:rPr>
          <w:rFonts w:hint="eastAsia" w:ascii="宋体" w:hAnsi="宋体" w:cs="宋体"/>
          <w:color w:val="auto"/>
          <w:sz w:val="24"/>
          <w:szCs w:val="24"/>
          <w:u w:val="single"/>
          <w:lang w:val="en-US" w:eastAsia="zh-CN"/>
        </w:rPr>
        <w:t>7</w:t>
      </w:r>
      <w:r>
        <w:rPr>
          <w:rFonts w:hint="eastAsia" w:ascii="宋体" w:hAnsi="宋体" w:cs="宋体"/>
          <w:color w:val="auto"/>
          <w:sz w:val="24"/>
          <w:szCs w:val="24"/>
          <w:u w:val="single"/>
        </w:rPr>
        <w:t>艘</w:t>
      </w:r>
      <w:r>
        <w:rPr>
          <w:rFonts w:hint="eastAsia" w:ascii="宋体" w:hAnsi="宋体" w:cs="宋体"/>
          <w:color w:val="auto"/>
          <w:sz w:val="24"/>
          <w:szCs w:val="24"/>
          <w:u w:val="single"/>
          <w:lang w:val="en-US" w:eastAsia="zh-CN"/>
        </w:rPr>
        <w:t>古代</w:t>
      </w:r>
      <w:r>
        <w:rPr>
          <w:rFonts w:hint="eastAsia" w:ascii="宋体" w:hAnsi="宋体" w:cs="宋体"/>
          <w:color w:val="auto"/>
          <w:sz w:val="24"/>
          <w:szCs w:val="24"/>
          <w:u w:val="single"/>
        </w:rPr>
        <w:t>木帆船模型（详见附件</w:t>
      </w:r>
      <w:r>
        <w:rPr>
          <w:rFonts w:hint="eastAsia" w:ascii="宋体" w:hAnsi="宋体" w:cs="宋体"/>
          <w:color w:val="auto"/>
          <w:sz w:val="24"/>
          <w:szCs w:val="24"/>
          <w:u w:val="single"/>
          <w:lang w:eastAsia="zh-CN"/>
        </w:rPr>
        <w:t>：</w:t>
      </w:r>
      <w:r>
        <w:rPr>
          <w:rFonts w:hint="eastAsia" w:ascii="宋体" w:hAnsi="宋体" w:cs="宋体"/>
          <w:color w:val="auto"/>
          <w:sz w:val="24"/>
          <w:szCs w:val="24"/>
          <w:u w:val="single"/>
        </w:rPr>
        <w:t>《古代木帆船模型及参数要求》）。</w:t>
      </w:r>
    </w:p>
    <w:p>
      <w:pPr>
        <w:snapToGrid w:val="0"/>
        <w:spacing w:line="360" w:lineRule="auto"/>
        <w:ind w:firstLine="480" w:firstLineChars="200"/>
        <w:rPr>
          <w:rFonts w:hint="eastAsia" w:ascii="宋体" w:hAnsi="宋体" w:cs="宋体"/>
          <w:color w:val="auto"/>
          <w:sz w:val="24"/>
          <w:szCs w:val="24"/>
          <w:u w:val="single"/>
        </w:rPr>
      </w:pPr>
      <w:r>
        <w:rPr>
          <w:rFonts w:hint="eastAsia" w:ascii="宋体" w:hAnsi="宋体" w:cs="宋体"/>
          <w:color w:val="auto"/>
          <w:sz w:val="24"/>
          <w:szCs w:val="24"/>
          <w:u w:val="single"/>
        </w:rPr>
        <w:t>货物的采购要求：</w:t>
      </w:r>
    </w:p>
    <w:p>
      <w:pPr>
        <w:numPr>
          <w:ilvl w:val="0"/>
          <w:numId w:val="1"/>
        </w:num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按各古代木帆船原型，同比例缩小建造7艘船模，可用于博物馆展览及船型研究。具体船型及参数要求见附件《古代木帆船模型及参数要求》。</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lang w:val="en-US" w:eastAsia="zh-CN"/>
        </w:rPr>
        <w:t>（2）供应商承诺可合法取得本项目全部模型的原型船图纸，并保证我方在使用该货物或其任何一部分时不受第三方提出的侵犯专利权、著作权、商标权和工业设计权等的诉讼。</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3</w:t>
      </w:r>
      <w:r>
        <w:rPr>
          <w:rFonts w:hint="eastAsia" w:ascii="宋体" w:hAnsi="宋体" w:cs="宋体"/>
          <w:color w:val="auto"/>
          <w:sz w:val="24"/>
          <w:szCs w:val="24"/>
        </w:rPr>
        <w:t>）中国古代船模建造规范应遵循《中式木帆船模型建造考证指南》，船型建造材料与工艺尽可能依据原型船，属具构件齐全，建成的船模仿真度高，外观显现原型船样貌，并能展现实船内、外结构，科学准确地展示古代木帆船的船壳搭接、船舱建造、甲板布设、风帆系统等建造工艺。外国古代船模需</w:t>
      </w:r>
      <w:r>
        <w:rPr>
          <w:rFonts w:hint="eastAsia" w:ascii="宋体" w:hAnsi="宋体" w:cs="宋体"/>
          <w:color w:val="auto"/>
          <w:sz w:val="24"/>
          <w:szCs w:val="24"/>
          <w:lang w:val="en-US" w:eastAsia="zh-CN"/>
        </w:rPr>
        <w:t>合法取得原型船图纸及制作授权，</w:t>
      </w:r>
      <w:r>
        <w:rPr>
          <w:rFonts w:hint="eastAsia" w:ascii="宋体" w:hAnsi="宋体" w:cs="宋体"/>
          <w:color w:val="auto"/>
          <w:sz w:val="24"/>
          <w:szCs w:val="24"/>
        </w:rPr>
        <w:t>还原其外观风貌，准确展现其外型特征，对甲板以下的不可见部分不做硬性要求。</w:t>
      </w:r>
    </w:p>
    <w:p>
      <w:pPr>
        <w:snapToGrid w:val="0"/>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cs="宋体"/>
          <w:color w:val="auto"/>
          <w:sz w:val="24"/>
          <w:szCs w:val="24"/>
        </w:rPr>
        <w:t>（</w:t>
      </w:r>
      <w:r>
        <w:rPr>
          <w:rFonts w:hint="eastAsia" w:ascii="宋体" w:hAnsi="宋体" w:cs="宋体"/>
          <w:color w:val="auto"/>
          <w:sz w:val="24"/>
          <w:szCs w:val="24"/>
          <w:lang w:val="en-US" w:eastAsia="zh-CN"/>
        </w:rPr>
        <w:t>4</w:t>
      </w:r>
      <w:r>
        <w:rPr>
          <w:rFonts w:hint="eastAsia" w:ascii="宋体" w:hAnsi="宋体" w:cs="宋体"/>
          <w:color w:val="auto"/>
          <w:sz w:val="24"/>
          <w:szCs w:val="24"/>
        </w:rPr>
        <w:t>）制作模型所参考的原型船，应在历史上真实存在，有图片或资料佐证。</w:t>
      </w:r>
      <w:r>
        <w:rPr>
          <w:rFonts w:hint="eastAsia" w:ascii="宋体" w:hAnsi="宋体" w:cs="宋体"/>
          <w:color w:val="auto"/>
          <w:sz w:val="24"/>
          <w:szCs w:val="24"/>
          <w:lang w:val="en-US" w:eastAsia="zh-CN"/>
        </w:rPr>
        <w:t>供应商须依照准确可靠的原型船测绘图纸，参考历史文献及考古发掘材料，自主制作复原设计图纸并制作模型。禁止在未取得第三方权利人授权许可的情况下，使用第三方权属图纸资料进行模型生产。</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5</w:t>
      </w:r>
      <w:r>
        <w:rPr>
          <w:rFonts w:hint="eastAsia" w:ascii="宋体" w:hAnsi="宋体" w:cs="宋体"/>
          <w:color w:val="auto"/>
          <w:sz w:val="24"/>
          <w:szCs w:val="24"/>
        </w:rPr>
        <w:t>）供应商最终交付时应提供原型船背景资料、图纸资料（含原</w:t>
      </w:r>
      <w:r>
        <w:rPr>
          <w:rFonts w:hint="eastAsia" w:ascii="宋体" w:hAnsi="宋体" w:cs="宋体"/>
          <w:color w:val="auto"/>
          <w:sz w:val="24"/>
          <w:szCs w:val="24"/>
          <w:lang w:val="en-US" w:eastAsia="zh-CN"/>
        </w:rPr>
        <w:t>型</w:t>
      </w:r>
      <w:r>
        <w:rPr>
          <w:rFonts w:hint="eastAsia" w:ascii="宋体" w:hAnsi="宋体" w:cs="宋体"/>
          <w:color w:val="auto"/>
          <w:sz w:val="24"/>
          <w:szCs w:val="24"/>
        </w:rPr>
        <w:t>船测绘图纸和船型线图等</w:t>
      </w:r>
      <w:r>
        <w:rPr>
          <w:rFonts w:hint="eastAsia" w:ascii="宋体" w:hAnsi="宋体" w:cs="宋体"/>
          <w:color w:val="auto"/>
          <w:sz w:val="24"/>
          <w:szCs w:val="24"/>
          <w:lang w:val="en-US" w:eastAsia="zh-CN"/>
        </w:rPr>
        <w:t>复原</w:t>
      </w:r>
      <w:r>
        <w:rPr>
          <w:rFonts w:hint="eastAsia" w:ascii="宋体" w:hAnsi="宋体" w:cs="宋体"/>
          <w:color w:val="auto"/>
          <w:sz w:val="24"/>
          <w:szCs w:val="24"/>
        </w:rPr>
        <w:t>设计图纸）</w:t>
      </w:r>
      <w:r>
        <w:rPr>
          <w:rFonts w:hint="eastAsia" w:ascii="宋体" w:hAnsi="宋体" w:cs="宋体"/>
          <w:color w:val="auto"/>
          <w:sz w:val="24"/>
          <w:szCs w:val="24"/>
          <w:lang w:eastAsia="zh-CN"/>
        </w:rPr>
        <w:t>、</w:t>
      </w:r>
      <w:r>
        <w:rPr>
          <w:rFonts w:hint="eastAsia" w:ascii="宋体" w:hAnsi="宋体" w:cs="宋体"/>
          <w:color w:val="auto"/>
          <w:sz w:val="24"/>
          <w:szCs w:val="24"/>
        </w:rPr>
        <w:t>关键制作过程的影像资料，以及船模主材、帆装、涂装、彩绘、属具等内容说明。</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6</w:t>
      </w:r>
      <w:r>
        <w:rPr>
          <w:rFonts w:hint="eastAsia" w:ascii="宋体" w:hAnsi="宋体" w:cs="宋体"/>
          <w:color w:val="auto"/>
          <w:sz w:val="24"/>
          <w:szCs w:val="24"/>
        </w:rPr>
        <w:t>）供应商为船模建造方，不得再转第三方承建。</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7</w:t>
      </w:r>
      <w:r>
        <w:rPr>
          <w:rFonts w:hint="eastAsia" w:ascii="宋体" w:hAnsi="宋体" w:cs="宋体"/>
          <w:color w:val="auto"/>
          <w:sz w:val="24"/>
          <w:szCs w:val="24"/>
        </w:rPr>
        <w:t>）价格包括：包干方式，含船模建造</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运输及调试等</w:t>
      </w:r>
      <w:r>
        <w:rPr>
          <w:rFonts w:hint="eastAsia" w:ascii="宋体" w:hAnsi="宋体" w:cs="宋体"/>
          <w:color w:val="auto"/>
          <w:sz w:val="24"/>
          <w:szCs w:val="24"/>
        </w:rPr>
        <w:t>所有费用（包括人工费、材料费、</w:t>
      </w:r>
      <w:r>
        <w:rPr>
          <w:rFonts w:hint="eastAsia" w:ascii="宋体" w:hAnsi="宋体" w:cs="宋体"/>
          <w:color w:val="auto"/>
          <w:sz w:val="24"/>
          <w:szCs w:val="24"/>
          <w:lang w:val="en-US" w:eastAsia="zh-CN"/>
        </w:rPr>
        <w:t>运费、包装费、</w:t>
      </w:r>
      <w:r>
        <w:rPr>
          <w:rFonts w:hint="eastAsia" w:ascii="宋体" w:hAnsi="宋体" w:cs="宋体"/>
          <w:color w:val="auto"/>
          <w:sz w:val="24"/>
          <w:szCs w:val="24"/>
        </w:rPr>
        <w:t>税费</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差旅费</w:t>
      </w:r>
      <w:r>
        <w:rPr>
          <w:rFonts w:hint="eastAsia" w:ascii="宋体" w:hAnsi="宋体" w:cs="宋体"/>
          <w:color w:val="auto"/>
          <w:sz w:val="24"/>
          <w:szCs w:val="24"/>
        </w:rPr>
        <w:t>及意外损失等）。</w:t>
      </w:r>
    </w:p>
    <w:p>
      <w:pPr>
        <w:snapToGrid w:val="0"/>
        <w:spacing w:line="360" w:lineRule="auto"/>
        <w:ind w:firstLine="482" w:firstLineChars="200"/>
        <w:rPr>
          <w:rFonts w:hint="eastAsia" w:ascii="宋体" w:hAnsi="宋体" w:cs="宋体"/>
          <w:color w:val="auto"/>
          <w:sz w:val="24"/>
          <w:szCs w:val="24"/>
        </w:rPr>
      </w:pPr>
      <w:r>
        <w:rPr>
          <w:rFonts w:hint="eastAsia" w:ascii="宋体" w:hAnsi="宋体" w:cs="宋体"/>
          <w:b/>
          <w:color w:val="auto"/>
          <w:sz w:val="24"/>
          <w:szCs w:val="24"/>
        </w:rPr>
        <w:t>3. 合同价款</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本合同</w:t>
      </w:r>
      <w:r>
        <w:rPr>
          <w:rFonts w:hint="eastAsia" w:ascii="宋体" w:hAnsi="宋体" w:cs="宋体"/>
          <w:color w:val="auto"/>
          <w:sz w:val="24"/>
          <w:szCs w:val="24"/>
          <w:u w:val="single"/>
        </w:rPr>
        <w:t>总价</w:t>
      </w:r>
      <w:r>
        <w:rPr>
          <w:rFonts w:hint="eastAsia" w:ascii="宋体" w:hAnsi="宋体" w:cs="宋体"/>
          <w:color w:val="auto"/>
          <w:sz w:val="24"/>
          <w:szCs w:val="24"/>
        </w:rPr>
        <w:t>为大写人民币</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元整（￥</w:t>
      </w:r>
      <w:r>
        <w:rPr>
          <w:rFonts w:hint="eastAsia" w:ascii="宋体" w:hAnsi="宋体" w:cs="宋体"/>
          <w:color w:val="auto"/>
          <w:sz w:val="24"/>
          <w:szCs w:val="24"/>
          <w:u w:val="single"/>
        </w:rPr>
        <w:t xml:space="preserve"> </w:t>
      </w:r>
      <w:r>
        <w:rPr>
          <w:rFonts w:hint="eastAsia" w:ascii="宋体" w:hAnsi="宋体" w:cs="宋体"/>
          <w:color w:val="auto"/>
          <w:sz w:val="24"/>
          <w:szCs w:val="24"/>
        </w:rPr>
        <w:t>元）。</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分项价格：  </w:t>
      </w:r>
    </w:p>
    <w:tbl>
      <w:tblPr>
        <w:tblStyle w:val="12"/>
        <w:tblW w:w="40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934"/>
        <w:gridCol w:w="881"/>
        <w:gridCol w:w="595"/>
        <w:gridCol w:w="745"/>
        <w:gridCol w:w="1004"/>
        <w:gridCol w:w="703"/>
        <w:gridCol w:w="1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b/>
                <w:color w:val="auto"/>
                <w:szCs w:val="21"/>
              </w:rPr>
            </w:pPr>
            <w:r>
              <w:rPr>
                <w:rFonts w:hint="eastAsia" w:ascii="宋体" w:hAnsi="宋体" w:cs="宋体"/>
                <w:b/>
                <w:color w:val="auto"/>
                <w:szCs w:val="21"/>
              </w:rPr>
              <w:t>序号</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b/>
                <w:color w:val="auto"/>
                <w:szCs w:val="21"/>
              </w:rPr>
            </w:pPr>
            <w:r>
              <w:rPr>
                <w:rFonts w:hint="eastAsia" w:ascii="宋体" w:hAnsi="宋体" w:cs="宋体"/>
                <w:b/>
                <w:color w:val="auto"/>
                <w:szCs w:val="21"/>
              </w:rPr>
              <w:t>报价内容</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b/>
                <w:color w:val="auto"/>
                <w:szCs w:val="21"/>
              </w:rPr>
            </w:pPr>
            <w:r>
              <w:rPr>
                <w:rFonts w:hint="eastAsia" w:ascii="宋体" w:hAnsi="宋体" w:cs="宋体"/>
                <w:b/>
                <w:color w:val="auto"/>
                <w:szCs w:val="21"/>
              </w:rPr>
              <w:t>制造商名称</w:t>
            </w: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b/>
                <w:color w:val="auto"/>
                <w:szCs w:val="21"/>
              </w:rPr>
            </w:pPr>
            <w:r>
              <w:rPr>
                <w:rFonts w:hint="eastAsia" w:ascii="宋体" w:hAnsi="宋体" w:cs="宋体"/>
                <w:b/>
                <w:color w:val="auto"/>
                <w:szCs w:val="21"/>
              </w:rPr>
              <w:t>产地</w:t>
            </w: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b/>
                <w:color w:val="auto"/>
                <w:szCs w:val="21"/>
              </w:rPr>
            </w:pPr>
            <w:r>
              <w:rPr>
                <w:rFonts w:hint="eastAsia" w:ascii="宋体" w:hAnsi="宋体" w:cs="宋体"/>
                <w:b/>
                <w:color w:val="auto"/>
                <w:szCs w:val="21"/>
              </w:rPr>
              <w:t>数量</w:t>
            </w:r>
          </w:p>
          <w:p>
            <w:pPr>
              <w:jc w:val="both"/>
              <w:rPr>
                <w:rFonts w:hint="default" w:ascii="宋体" w:hAnsi="宋体" w:eastAsia="宋体" w:cs="宋体"/>
                <w:b/>
                <w:color w:val="auto"/>
                <w:szCs w:val="21"/>
                <w:lang w:val="en-US" w:eastAsia="zh-CN"/>
              </w:rPr>
            </w:pPr>
            <w:r>
              <w:rPr>
                <w:rFonts w:hint="eastAsia" w:ascii="宋体" w:hAnsi="宋体" w:cs="宋体"/>
                <w:b/>
                <w:color w:val="auto"/>
                <w:szCs w:val="21"/>
                <w:lang w:eastAsia="zh-CN"/>
              </w:rPr>
              <w:t>（</w:t>
            </w:r>
            <w:r>
              <w:rPr>
                <w:rFonts w:hint="eastAsia" w:ascii="宋体" w:hAnsi="宋体" w:cs="宋体"/>
                <w:b/>
                <w:color w:val="auto"/>
                <w:szCs w:val="21"/>
                <w:lang w:val="en-US" w:eastAsia="zh-CN"/>
              </w:rPr>
              <w:t>艘）</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b/>
                <w:color w:val="auto"/>
                <w:szCs w:val="21"/>
              </w:rPr>
            </w:pPr>
            <w:r>
              <w:rPr>
                <w:rFonts w:hint="eastAsia" w:ascii="宋体" w:hAnsi="宋体" w:cs="宋体"/>
                <w:b/>
                <w:color w:val="auto"/>
                <w:szCs w:val="21"/>
              </w:rPr>
              <w:t>单价</w:t>
            </w:r>
          </w:p>
          <w:p>
            <w:pPr>
              <w:jc w:val="center"/>
              <w:rPr>
                <w:rFonts w:hint="default" w:ascii="宋体" w:hAnsi="宋体" w:eastAsia="宋体" w:cs="宋体"/>
                <w:b/>
                <w:color w:val="auto"/>
                <w:szCs w:val="21"/>
                <w:lang w:val="en-US" w:eastAsia="zh-CN"/>
              </w:rPr>
            </w:pPr>
            <w:r>
              <w:rPr>
                <w:rFonts w:hint="eastAsia" w:ascii="宋体" w:hAnsi="宋体" w:cs="宋体"/>
                <w:b/>
                <w:color w:val="auto"/>
                <w:szCs w:val="21"/>
                <w:lang w:eastAsia="zh-CN"/>
              </w:rPr>
              <w:t>（</w:t>
            </w:r>
            <w:r>
              <w:rPr>
                <w:rFonts w:hint="eastAsia" w:ascii="宋体" w:hAnsi="宋体" w:cs="宋体"/>
                <w:b/>
                <w:color w:val="auto"/>
                <w:szCs w:val="21"/>
                <w:lang w:val="en-US" w:eastAsia="zh-CN"/>
              </w:rPr>
              <w:t>万元）</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b/>
                <w:color w:val="auto"/>
                <w:szCs w:val="21"/>
              </w:rPr>
            </w:pPr>
            <w:r>
              <w:rPr>
                <w:rFonts w:hint="eastAsia" w:ascii="宋体" w:hAnsi="宋体" w:cs="宋体"/>
                <w:b/>
                <w:color w:val="auto"/>
                <w:szCs w:val="21"/>
              </w:rPr>
              <w:t>小计</w:t>
            </w: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b/>
                <w:color w:val="auto"/>
                <w:szCs w:val="21"/>
              </w:rPr>
            </w:pPr>
            <w:r>
              <w:rPr>
                <w:rFonts w:hint="eastAsia" w:ascii="宋体" w:hAnsi="宋体" w:cs="宋体"/>
                <w:b/>
                <w:color w:val="auto"/>
                <w:szCs w:val="21"/>
              </w:rPr>
              <w:t>交货时间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color w:val="auto"/>
                <w:szCs w:val="21"/>
              </w:rPr>
            </w:pPr>
            <w:r>
              <w:rPr>
                <w:rFonts w:hint="eastAsia" w:ascii="宋体" w:hAnsi="宋体" w:cs="宋体"/>
                <w:color w:val="auto"/>
                <w:szCs w:val="21"/>
              </w:rPr>
              <w:t>1</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r>
              <w:rPr>
                <w:rFonts w:hint="eastAsia" w:ascii="宋体" w:hAnsi="宋体" w:cs="宋体"/>
                <w:color w:val="auto"/>
                <w:szCs w:val="21"/>
              </w:rPr>
              <w:t>大型广船模型</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color w:val="auto"/>
                <w:szCs w:val="21"/>
              </w:rPr>
            </w:pPr>
            <w:r>
              <w:rPr>
                <w:rFonts w:hint="eastAsia" w:ascii="宋体" w:hAnsi="宋体" w:cs="宋体"/>
                <w:color w:val="auto"/>
                <w:szCs w:val="21"/>
              </w:rPr>
              <w:t>1</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color w:val="auto"/>
                <w:szCs w:val="21"/>
              </w:rPr>
            </w:pPr>
            <w:r>
              <w:rPr>
                <w:rFonts w:hint="eastAsia" w:ascii="宋体" w:hAnsi="宋体" w:cs="宋体"/>
                <w:color w:val="auto"/>
                <w:szCs w:val="21"/>
              </w:rPr>
              <w:t>2</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r>
              <w:rPr>
                <w:rFonts w:hint="eastAsia" w:ascii="宋体" w:hAnsi="宋体" w:cs="宋体"/>
                <w:color w:val="auto"/>
                <w:szCs w:val="21"/>
                <w:lang w:val="en-US" w:eastAsia="zh-CN"/>
              </w:rPr>
              <w:t>中</w:t>
            </w:r>
            <w:r>
              <w:rPr>
                <w:rFonts w:hint="eastAsia" w:ascii="宋体" w:hAnsi="宋体" w:cs="宋体"/>
                <w:color w:val="auto"/>
                <w:szCs w:val="21"/>
              </w:rPr>
              <w:t>型广船模型</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color w:val="auto"/>
                <w:szCs w:val="21"/>
              </w:rPr>
            </w:pPr>
            <w:r>
              <w:rPr>
                <w:rFonts w:hint="eastAsia" w:ascii="宋体" w:hAnsi="宋体" w:cs="宋体"/>
                <w:color w:val="auto"/>
                <w:szCs w:val="21"/>
              </w:rPr>
              <w:t>1</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color w:val="auto"/>
                <w:szCs w:val="21"/>
              </w:rPr>
            </w:pPr>
            <w:r>
              <w:rPr>
                <w:rFonts w:hint="eastAsia" w:ascii="宋体" w:hAnsi="宋体" w:cs="宋体"/>
                <w:color w:val="auto"/>
                <w:szCs w:val="21"/>
              </w:rPr>
              <w:t>3</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r>
              <w:rPr>
                <w:rFonts w:hint="eastAsia" w:ascii="宋体" w:hAnsi="宋体" w:cs="宋体"/>
                <w:color w:val="auto"/>
                <w:szCs w:val="21"/>
                <w:lang w:val="en-US" w:eastAsia="zh-CN"/>
              </w:rPr>
              <w:t>黑石号模型</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color w:val="auto"/>
                <w:szCs w:val="21"/>
              </w:rPr>
            </w:pPr>
            <w:r>
              <w:rPr>
                <w:rFonts w:hint="eastAsia" w:ascii="宋体" w:hAnsi="宋体" w:cs="宋体"/>
                <w:color w:val="auto"/>
                <w:szCs w:val="21"/>
              </w:rPr>
              <w:t>1</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color w:val="auto"/>
                <w:szCs w:val="21"/>
              </w:rPr>
            </w:pPr>
            <w:r>
              <w:rPr>
                <w:rFonts w:hint="eastAsia" w:ascii="宋体" w:hAnsi="宋体" w:cs="宋体"/>
                <w:color w:val="auto"/>
                <w:szCs w:val="21"/>
              </w:rPr>
              <w:t>4</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r>
              <w:rPr>
                <w:rFonts w:hint="eastAsia" w:ascii="宋体" w:hAnsi="宋体" w:cs="宋体"/>
                <w:color w:val="auto"/>
                <w:szCs w:val="21"/>
              </w:rPr>
              <w:t>哥德堡号沉船</w:t>
            </w:r>
            <w:r>
              <w:rPr>
                <w:rFonts w:hint="eastAsia" w:ascii="宋体" w:hAnsi="宋体" w:cs="宋体"/>
                <w:color w:val="auto"/>
                <w:szCs w:val="21"/>
                <w:lang w:val="en-US" w:eastAsia="zh-CN"/>
              </w:rPr>
              <w:t>模型</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color w:val="auto"/>
                <w:szCs w:val="21"/>
              </w:rPr>
            </w:pPr>
            <w:r>
              <w:rPr>
                <w:rFonts w:hint="eastAsia" w:ascii="宋体" w:hAnsi="宋体" w:cs="宋体"/>
                <w:color w:val="auto"/>
                <w:szCs w:val="21"/>
              </w:rPr>
              <w:t>1</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color w:val="auto"/>
                <w:szCs w:val="21"/>
              </w:rPr>
            </w:pPr>
            <w:r>
              <w:rPr>
                <w:rFonts w:hint="eastAsia" w:ascii="宋体" w:hAnsi="宋体" w:cs="宋体"/>
                <w:color w:val="auto"/>
                <w:szCs w:val="21"/>
              </w:rPr>
              <w:t>5</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r>
              <w:rPr>
                <w:rFonts w:hint="eastAsia" w:ascii="宋体" w:hAnsi="宋体" w:cs="宋体"/>
                <w:color w:val="auto"/>
                <w:szCs w:val="21"/>
              </w:rPr>
              <w:t>圣·迭戈号沉船</w:t>
            </w:r>
            <w:r>
              <w:rPr>
                <w:rFonts w:hint="eastAsia" w:ascii="宋体" w:hAnsi="宋体" w:cs="宋体"/>
                <w:color w:val="auto"/>
                <w:szCs w:val="21"/>
                <w:lang w:val="en-US" w:eastAsia="zh-CN"/>
              </w:rPr>
              <w:t>模型</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color w:val="auto"/>
                <w:szCs w:val="21"/>
              </w:rPr>
            </w:pPr>
            <w:r>
              <w:rPr>
                <w:rFonts w:hint="eastAsia" w:ascii="宋体" w:hAnsi="宋体" w:cs="宋体"/>
                <w:color w:val="auto"/>
                <w:szCs w:val="21"/>
              </w:rPr>
              <w:t>1</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color w:val="auto"/>
                <w:szCs w:val="21"/>
              </w:rPr>
            </w:pPr>
            <w:r>
              <w:rPr>
                <w:rFonts w:hint="eastAsia" w:ascii="宋体" w:hAnsi="宋体" w:cs="宋体"/>
                <w:color w:val="auto"/>
                <w:szCs w:val="21"/>
              </w:rPr>
              <w:t>6</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r>
              <w:rPr>
                <w:rFonts w:hint="eastAsia" w:ascii="宋体" w:hAnsi="宋体" w:cs="宋体"/>
                <w:color w:val="auto"/>
                <w:szCs w:val="21"/>
              </w:rPr>
              <w:t>泰兴号沉船</w:t>
            </w:r>
            <w:r>
              <w:rPr>
                <w:rFonts w:hint="eastAsia" w:ascii="宋体" w:hAnsi="宋体" w:cs="宋体"/>
                <w:color w:val="auto"/>
                <w:szCs w:val="21"/>
                <w:lang w:val="en-US" w:eastAsia="zh-CN"/>
              </w:rPr>
              <w:t>模型</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cs="宋体"/>
                <w:color w:val="auto"/>
                <w:szCs w:val="21"/>
              </w:rPr>
            </w:pPr>
            <w:r>
              <w:rPr>
                <w:rFonts w:hint="eastAsia" w:ascii="宋体" w:hAnsi="宋体" w:cs="宋体"/>
                <w:color w:val="auto"/>
                <w:szCs w:val="21"/>
              </w:rPr>
              <w:t>1</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7</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lang w:val="en-US" w:eastAsia="zh-CN"/>
              </w:rPr>
            </w:pPr>
            <w:r>
              <w:rPr>
                <w:rFonts w:hint="eastAsia" w:ascii="宋体" w:hAnsi="宋体" w:cs="宋体"/>
                <w:color w:val="auto"/>
                <w:szCs w:val="21"/>
                <w:lang w:val="en-US" w:eastAsia="zh-CN"/>
              </w:rPr>
              <w:t>卡蒂萨克号模型</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1</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2108" w:type="pct"/>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总计</w:t>
            </w: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宋体" w:hAnsi="宋体" w:cs="宋体"/>
                <w:color w:val="auto"/>
                <w:szCs w:val="21"/>
                <w:lang w:val="en-US" w:eastAsia="zh-CN"/>
              </w:rPr>
            </w:pPr>
            <w:r>
              <w:rPr>
                <w:rFonts w:hint="eastAsia" w:ascii="宋体" w:hAnsi="宋体" w:cs="宋体"/>
                <w:color w:val="auto"/>
                <w:szCs w:val="21"/>
                <w:lang w:val="en-US" w:eastAsia="zh-CN"/>
              </w:rPr>
              <w:t>7</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bl>
    <w:p>
      <w:pPr>
        <w:snapToGrid w:val="0"/>
        <w:spacing w:line="360" w:lineRule="auto"/>
        <w:ind w:firstLine="480" w:firstLineChars="200"/>
        <w:rPr>
          <w:rFonts w:hint="eastAsia" w:ascii="宋体" w:hAnsi="宋体" w:cs="宋体"/>
          <w:color w:val="auto"/>
          <w:sz w:val="24"/>
          <w:szCs w:val="24"/>
          <w:u w:val="single"/>
        </w:rPr>
      </w:pPr>
      <w:r>
        <w:rPr>
          <w:rFonts w:hint="eastAsia" w:ascii="宋体" w:hAnsi="宋体" w:cs="宋体"/>
          <w:color w:val="auto"/>
          <w:sz w:val="24"/>
          <w:szCs w:val="24"/>
        </w:rPr>
        <w:t xml:space="preserve">                                          </w:t>
      </w:r>
    </w:p>
    <w:p>
      <w:pPr>
        <w:snapToGrid w:val="0"/>
        <w:spacing w:line="360" w:lineRule="auto"/>
        <w:ind w:firstLine="482" w:firstLineChars="200"/>
        <w:rPr>
          <w:rFonts w:hint="eastAsia" w:ascii="宋体" w:hAnsi="宋体" w:cs="宋体"/>
          <w:color w:val="auto"/>
          <w:sz w:val="24"/>
          <w:szCs w:val="24"/>
        </w:rPr>
      </w:pPr>
      <w:r>
        <w:rPr>
          <w:rFonts w:hint="eastAsia" w:ascii="宋体" w:hAnsi="宋体" w:cs="宋体"/>
          <w:b/>
          <w:color w:val="auto"/>
          <w:sz w:val="24"/>
          <w:szCs w:val="24"/>
        </w:rPr>
        <w:t>4. 付款方式</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本合同的付款方式为：</w:t>
      </w:r>
    </w:p>
    <w:p>
      <w:pPr>
        <w:snapToGrid w:val="0"/>
        <w:spacing w:line="360" w:lineRule="auto"/>
        <w:rPr>
          <w:rFonts w:hint="eastAsia" w:ascii="宋体" w:hAnsi="宋体" w:cs="宋体"/>
          <w:color w:val="auto"/>
          <w:sz w:val="24"/>
          <w:szCs w:val="24"/>
        </w:rPr>
      </w:pPr>
      <w:r>
        <w:rPr>
          <w:rFonts w:hint="eastAsia" w:ascii="宋体" w:hAnsi="宋体" w:cs="宋体"/>
          <w:color w:val="auto"/>
          <w:sz w:val="24"/>
          <w:szCs w:val="24"/>
        </w:rPr>
        <w:t>本合同签订后</w:t>
      </w:r>
      <w:r>
        <w:rPr>
          <w:rFonts w:hint="eastAsia" w:ascii="宋体" w:hAnsi="宋体" w:cs="宋体"/>
          <w:color w:val="auto"/>
          <w:sz w:val="24"/>
          <w:szCs w:val="24"/>
          <w:lang w:val="en-US" w:eastAsia="zh-CN"/>
        </w:rPr>
        <w:t>10</w:t>
      </w:r>
      <w:r>
        <w:rPr>
          <w:rFonts w:hint="eastAsia" w:ascii="宋体" w:hAnsi="宋体" w:cs="宋体"/>
          <w:color w:val="auto"/>
          <w:sz w:val="24"/>
          <w:szCs w:val="24"/>
        </w:rPr>
        <w:t>个工作日内，乙方须向甲方交纳本项目总金额10%的履约保证金，即人民币</w:t>
      </w:r>
      <w:r>
        <w:rPr>
          <w:rFonts w:hint="eastAsia" w:ascii="宋体" w:hAnsi="宋体" w:cs="宋体"/>
          <w:color w:val="auto"/>
          <w:sz w:val="24"/>
          <w:szCs w:val="24"/>
          <w:u w:val="single"/>
        </w:rPr>
        <w:t xml:space="preserve">  </w:t>
      </w:r>
      <w:r>
        <w:rPr>
          <w:rFonts w:hint="eastAsia" w:ascii="宋体" w:hAnsi="宋体" w:cs="宋体"/>
          <w:color w:val="auto"/>
          <w:sz w:val="24"/>
          <w:szCs w:val="24"/>
        </w:rPr>
        <w:t>元（大写</w:t>
      </w:r>
      <w:r>
        <w:rPr>
          <w:rFonts w:hint="eastAsia" w:ascii="宋体" w:hAnsi="宋体" w:cs="宋体"/>
          <w:color w:val="auto"/>
          <w:sz w:val="24"/>
          <w:szCs w:val="24"/>
          <w:u w:val="single"/>
        </w:rPr>
        <w:t>：人民</w:t>
      </w:r>
      <w:r>
        <w:rPr>
          <w:rFonts w:hint="eastAsia" w:ascii="宋体" w:hAnsi="宋体" w:cs="宋体"/>
          <w:color w:val="auto"/>
          <w:sz w:val="24"/>
          <w:szCs w:val="24"/>
          <w:u w:val="single"/>
          <w:lang w:val="en-US" w:eastAsia="zh-CN"/>
        </w:rPr>
        <w:t xml:space="preserve">币 </w:t>
      </w:r>
      <w:r>
        <w:rPr>
          <w:rFonts w:hint="eastAsia" w:ascii="宋体" w:hAnsi="宋体" w:cs="宋体"/>
          <w:color w:val="auto"/>
          <w:sz w:val="24"/>
          <w:szCs w:val="24"/>
          <w:u w:val="single"/>
        </w:rPr>
        <w:t>元整</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）。同时，乙方须提供本年度符合国家规定的正式发票；</w:t>
      </w:r>
      <w:r>
        <w:rPr>
          <w:rFonts w:hint="eastAsia" w:ascii="宋体" w:hAnsi="宋体" w:cs="宋体"/>
          <w:color w:val="auto"/>
          <w:sz w:val="24"/>
          <w:szCs w:val="24"/>
        </w:rPr>
        <w:t>甲方应在收到乙方提交的履约保证金及正式发票后</w:t>
      </w:r>
      <w:r>
        <w:rPr>
          <w:rFonts w:hint="eastAsia" w:ascii="宋体" w:hAnsi="宋体" w:cs="宋体"/>
          <w:color w:val="auto"/>
          <w:sz w:val="24"/>
          <w:szCs w:val="24"/>
          <w:lang w:val="en-US" w:eastAsia="zh-CN"/>
        </w:rPr>
        <w:t>15</w:t>
      </w:r>
      <w:r>
        <w:rPr>
          <w:rFonts w:hint="eastAsia" w:ascii="宋体" w:hAnsi="宋体" w:cs="宋体"/>
          <w:color w:val="auto"/>
          <w:sz w:val="24"/>
          <w:szCs w:val="24"/>
        </w:rPr>
        <w:t>个工作日内向乙方支付本项目</w:t>
      </w:r>
      <w:r>
        <w:rPr>
          <w:rFonts w:hint="eastAsia" w:ascii="宋体" w:hAnsi="宋体" w:cs="宋体"/>
          <w:color w:val="auto"/>
          <w:sz w:val="24"/>
          <w:szCs w:val="24"/>
          <w:lang w:val="en-US" w:eastAsia="zh-CN"/>
        </w:rPr>
        <w:t>首付款，计人民币210000元</w:t>
      </w:r>
      <w:r>
        <w:rPr>
          <w:rFonts w:hint="eastAsia" w:ascii="宋体" w:hAnsi="宋体" w:cs="宋体"/>
          <w:color w:val="auto"/>
          <w:sz w:val="24"/>
          <w:szCs w:val="24"/>
        </w:rPr>
        <w:t>（大写</w:t>
      </w:r>
      <w:r>
        <w:rPr>
          <w:rFonts w:hint="eastAsia" w:ascii="宋体" w:hAnsi="宋体" w:cs="宋体"/>
          <w:color w:val="auto"/>
          <w:sz w:val="24"/>
          <w:szCs w:val="24"/>
          <w:u w:val="single"/>
        </w:rPr>
        <w:t>：人民币贰拾壹万元整</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货物</w:t>
      </w:r>
      <w:r>
        <w:rPr>
          <w:rFonts w:hint="eastAsia" w:ascii="宋体" w:hAnsi="宋体" w:cs="宋体"/>
          <w:color w:val="auto"/>
          <w:sz w:val="24"/>
          <w:szCs w:val="24"/>
          <w:lang w:val="en-US" w:eastAsia="zh-CN"/>
        </w:rPr>
        <w:t>制作完成后，</w:t>
      </w:r>
      <w:r>
        <w:rPr>
          <w:rFonts w:hint="eastAsia" w:ascii="宋体" w:hAnsi="宋体" w:cs="宋体"/>
          <w:color w:val="auto"/>
          <w:sz w:val="24"/>
          <w:szCs w:val="24"/>
        </w:rPr>
        <w:t>到达甲方指定地点现场，安装、调试合格并通过甲方验收</w:t>
      </w:r>
      <w:r>
        <w:rPr>
          <w:rFonts w:hint="eastAsia" w:ascii="宋体" w:hAnsi="宋体" w:cs="宋体"/>
          <w:color w:val="auto"/>
          <w:sz w:val="24"/>
          <w:szCs w:val="24"/>
          <w:lang w:eastAsia="zh-CN"/>
        </w:rPr>
        <w:t>，</w:t>
      </w:r>
      <w:r>
        <w:rPr>
          <w:rFonts w:hint="eastAsia" w:ascii="宋体" w:hAnsi="宋体" w:cs="宋体"/>
          <w:color w:val="auto"/>
          <w:sz w:val="24"/>
          <w:szCs w:val="24"/>
          <w:highlight w:val="none"/>
          <w:lang w:val="en-US" w:eastAsia="zh-CN"/>
        </w:rPr>
        <w:t>通过</w:t>
      </w:r>
      <w:r>
        <w:rPr>
          <w:rFonts w:hint="eastAsia" w:ascii="宋体" w:hAnsi="宋体" w:cs="宋体"/>
          <w:color w:val="auto"/>
          <w:sz w:val="24"/>
          <w:szCs w:val="24"/>
          <w:highlight w:val="none"/>
        </w:rPr>
        <w:t>甲方验收后</w:t>
      </w: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个工作日内</w:t>
      </w:r>
      <w:r>
        <w:rPr>
          <w:rFonts w:hint="eastAsia" w:ascii="宋体" w:hAnsi="宋体" w:cs="宋体"/>
          <w:color w:val="auto"/>
          <w:sz w:val="24"/>
          <w:szCs w:val="24"/>
        </w:rPr>
        <w:t>，甲方向乙方支付合同</w:t>
      </w:r>
      <w:r>
        <w:rPr>
          <w:rFonts w:hint="eastAsia" w:ascii="宋体" w:hAnsi="宋体" w:cs="宋体"/>
          <w:color w:val="auto"/>
          <w:sz w:val="24"/>
          <w:szCs w:val="24"/>
          <w:lang w:val="en-US" w:eastAsia="zh-CN"/>
        </w:rPr>
        <w:t>剩余尾</w:t>
      </w:r>
      <w:r>
        <w:rPr>
          <w:rFonts w:hint="eastAsia" w:ascii="宋体" w:hAnsi="宋体" w:cs="宋体"/>
          <w:color w:val="auto"/>
          <w:sz w:val="24"/>
          <w:szCs w:val="24"/>
        </w:rPr>
        <w:t>款，计</w:t>
      </w:r>
      <w:r>
        <w:rPr>
          <w:rFonts w:hint="eastAsia" w:ascii="宋体" w:hAnsi="宋体" w:cs="宋体"/>
          <w:color w:val="auto"/>
          <w:sz w:val="24"/>
          <w:szCs w:val="24"/>
          <w:u w:val="single"/>
          <w:lang w:val="en-US" w:eastAsia="zh-CN"/>
        </w:rPr>
        <w:t xml:space="preserve">人民币 </w:t>
      </w:r>
      <w:r>
        <w:rPr>
          <w:rFonts w:hint="eastAsia" w:ascii="宋体" w:hAnsi="宋体" w:cs="宋体"/>
          <w:color w:val="auto"/>
          <w:sz w:val="24"/>
          <w:szCs w:val="24"/>
          <w:u w:val="single"/>
        </w:rPr>
        <w:t xml:space="preserve"> </w:t>
      </w:r>
      <w:r>
        <w:rPr>
          <w:rFonts w:hint="eastAsia" w:ascii="宋体" w:hAnsi="宋体" w:cs="宋体"/>
          <w:color w:val="auto"/>
          <w:sz w:val="24"/>
          <w:szCs w:val="24"/>
          <w:lang w:val="en-US" w:eastAsia="zh-CN"/>
        </w:rPr>
        <w:t>元</w:t>
      </w:r>
      <w:r>
        <w:rPr>
          <w:rFonts w:hint="eastAsia" w:ascii="宋体" w:hAnsi="宋体" w:cs="宋体"/>
          <w:color w:val="auto"/>
          <w:sz w:val="24"/>
          <w:szCs w:val="24"/>
        </w:rPr>
        <w:t>（大写</w:t>
      </w:r>
      <w:r>
        <w:rPr>
          <w:rFonts w:hint="eastAsia" w:ascii="宋体" w:hAnsi="宋体" w:cs="宋体"/>
          <w:color w:val="auto"/>
          <w:sz w:val="24"/>
          <w:szCs w:val="24"/>
          <w:u w:val="single"/>
        </w:rPr>
        <w:t>：人民币</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w:t>
      </w:r>
      <w:r>
        <w:rPr>
          <w:rFonts w:hint="eastAsia" w:eastAsia="宋体"/>
          <w:color w:val="auto"/>
          <w:lang w:eastAsia="zh-CN"/>
        </w:rPr>
        <w:t>。</w:t>
      </w:r>
      <w:r>
        <w:rPr>
          <w:rFonts w:hint="eastAsia" w:ascii="宋体" w:hAnsi="宋体" w:cs="宋体"/>
          <w:color w:val="auto"/>
          <w:sz w:val="24"/>
          <w:szCs w:val="24"/>
          <w:lang w:eastAsia="zh-CN"/>
        </w:rPr>
        <w:t>乙方向甲方支付合同总价10%的履约保证金，</w:t>
      </w:r>
      <w:r>
        <w:rPr>
          <w:rFonts w:hint="eastAsia" w:ascii="宋体" w:hAnsi="宋体" w:cs="宋体"/>
          <w:color w:val="auto"/>
          <w:sz w:val="24"/>
          <w:szCs w:val="24"/>
          <w:highlight w:val="none"/>
          <w:lang w:val="en-US" w:eastAsia="zh-CN"/>
        </w:rPr>
        <w:t>质保期内，乙方为甲方展览无偿提供本合同船模安装调试服务。</w:t>
      </w:r>
      <w:r>
        <w:rPr>
          <w:rFonts w:hint="eastAsia" w:ascii="宋体" w:hAnsi="宋体" w:cs="宋体"/>
          <w:color w:val="auto"/>
          <w:sz w:val="24"/>
          <w:szCs w:val="24"/>
          <w:highlight w:val="none"/>
          <w:lang w:eastAsia="zh-CN"/>
        </w:rPr>
        <w:t>待质保期满</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eastAsia="zh-CN"/>
        </w:rPr>
        <w:t>后甲方向乙方无息退还</w:t>
      </w:r>
      <w:r>
        <w:rPr>
          <w:rFonts w:hint="eastAsia" w:ascii="宋体" w:hAnsi="宋体" w:cs="宋体"/>
          <w:color w:val="auto"/>
          <w:sz w:val="24"/>
          <w:szCs w:val="24"/>
          <w:lang w:eastAsia="zh-CN"/>
        </w:rPr>
        <w:t>履约保证金</w:t>
      </w:r>
      <w:r>
        <w:rPr>
          <w:rFonts w:hint="eastAsia" w:ascii="宋体" w:hAnsi="宋体" w:cs="宋体"/>
          <w:color w:val="auto"/>
          <w:sz w:val="24"/>
          <w:szCs w:val="24"/>
          <w:highlight w:val="none"/>
          <w:lang w:eastAsia="zh-CN"/>
        </w:rPr>
        <w:t>。</w:t>
      </w:r>
    </w:p>
    <w:p>
      <w:pPr>
        <w:widowControl/>
        <w:spacing w:line="360" w:lineRule="auto"/>
        <w:ind w:firstLine="480" w:firstLineChars="200"/>
        <w:rPr>
          <w:rFonts w:hint="eastAsia" w:ascii="宋体" w:hAnsi="宋体" w:cs="宋体"/>
          <w:color w:val="auto"/>
          <w:kern w:val="0"/>
          <w:sz w:val="24"/>
          <w:szCs w:val="24"/>
        </w:rPr>
      </w:pPr>
      <w:r>
        <w:rPr>
          <w:rFonts w:hint="eastAsia" w:ascii="宋体" w:hAnsi="宋体" w:cs="宋体"/>
          <w:color w:val="auto"/>
          <w:kern w:val="0"/>
          <w:sz w:val="24"/>
          <w:szCs w:val="24"/>
        </w:rPr>
        <w:t>甲方如</w:t>
      </w:r>
      <w:r>
        <w:rPr>
          <w:rFonts w:hint="eastAsia" w:ascii="宋体" w:hAnsi="宋体" w:cs="宋体"/>
          <w:color w:val="auto"/>
          <w:sz w:val="24"/>
          <w:szCs w:val="24"/>
        </w:rPr>
        <w:t>需追加与合同标的相同的货物，</w:t>
      </w:r>
      <w:r>
        <w:rPr>
          <w:rFonts w:hint="eastAsia" w:ascii="宋体" w:hAnsi="宋体" w:cs="宋体"/>
          <w:color w:val="auto"/>
          <w:kern w:val="0"/>
          <w:sz w:val="24"/>
          <w:szCs w:val="24"/>
        </w:rPr>
        <w:t>在本合同金额10%以内的，</w:t>
      </w:r>
      <w:r>
        <w:rPr>
          <w:rFonts w:hint="eastAsia" w:ascii="宋体" w:hAnsi="宋体" w:cs="宋体"/>
          <w:color w:val="auto"/>
          <w:sz w:val="24"/>
          <w:szCs w:val="24"/>
        </w:rPr>
        <w:t>在不改变合同其他条款的前提下，可以与供应商协商签订补充合同，但所有补充合同的采购金额不得超过原合同采购金额的百分之十。</w:t>
      </w:r>
    </w:p>
    <w:p>
      <w:pPr>
        <w:snapToGrid w:val="0"/>
        <w:spacing w:line="360" w:lineRule="auto"/>
        <w:ind w:firstLine="480" w:firstLineChars="200"/>
        <w:rPr>
          <w:rFonts w:hint="eastAsia" w:ascii="宋体" w:hAnsi="宋体" w:cs="宋体"/>
          <w:color w:val="auto"/>
          <w:sz w:val="24"/>
          <w:szCs w:val="24"/>
        </w:rPr>
      </w:pPr>
    </w:p>
    <w:p>
      <w:pPr>
        <w:numPr>
          <w:ilvl w:val="0"/>
          <w:numId w:val="2"/>
        </w:numPr>
        <w:snapToGrid w:val="0"/>
        <w:spacing w:line="360" w:lineRule="auto"/>
        <w:ind w:firstLine="482" w:firstLineChars="200"/>
        <w:rPr>
          <w:rFonts w:hint="eastAsia" w:ascii="宋体" w:hAnsi="宋体" w:cs="宋体"/>
          <w:b/>
          <w:color w:val="auto"/>
          <w:sz w:val="24"/>
          <w:szCs w:val="24"/>
        </w:rPr>
      </w:pPr>
      <w:r>
        <w:rPr>
          <w:rFonts w:hint="eastAsia" w:ascii="宋体" w:hAnsi="宋体" w:cs="宋体"/>
          <w:b/>
          <w:color w:val="auto"/>
          <w:sz w:val="24"/>
          <w:szCs w:val="24"/>
        </w:rPr>
        <w:t>本合同货物的交货时间及交货地点</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交货时间：202</w:t>
      </w:r>
      <w:r>
        <w:rPr>
          <w:rFonts w:hint="eastAsia" w:ascii="宋体" w:hAnsi="宋体" w:cs="宋体"/>
          <w:color w:val="auto"/>
          <w:sz w:val="24"/>
          <w:szCs w:val="24"/>
          <w:lang w:val="en-US" w:eastAsia="zh-CN"/>
        </w:rPr>
        <w:t>7</w:t>
      </w:r>
      <w:r>
        <w:rPr>
          <w:rFonts w:hint="eastAsia" w:ascii="宋体" w:hAnsi="宋体" w:cs="宋体"/>
          <w:color w:val="auto"/>
          <w:sz w:val="24"/>
          <w:szCs w:val="24"/>
        </w:rPr>
        <w:t>年</w:t>
      </w:r>
      <w:r>
        <w:rPr>
          <w:rFonts w:hint="eastAsia" w:ascii="宋体" w:hAnsi="宋体" w:cs="宋体"/>
          <w:color w:val="auto"/>
          <w:sz w:val="24"/>
          <w:szCs w:val="24"/>
          <w:lang w:val="en-US" w:eastAsia="zh-CN"/>
        </w:rPr>
        <w:t xml:space="preserve">10 </w:t>
      </w:r>
      <w:r>
        <w:rPr>
          <w:rFonts w:hint="eastAsia" w:ascii="宋体" w:hAnsi="宋体" w:cs="宋体"/>
          <w:color w:val="auto"/>
          <w:sz w:val="24"/>
          <w:szCs w:val="24"/>
        </w:rPr>
        <w:t>月</w:t>
      </w:r>
      <w:r>
        <w:rPr>
          <w:rFonts w:hint="eastAsia" w:ascii="宋体" w:hAnsi="宋体" w:cs="宋体"/>
          <w:color w:val="auto"/>
          <w:sz w:val="24"/>
          <w:szCs w:val="24"/>
          <w:lang w:val="en-US" w:eastAsia="zh-CN"/>
        </w:rPr>
        <w:t xml:space="preserve">30 </w:t>
      </w:r>
      <w:r>
        <w:rPr>
          <w:rFonts w:hint="eastAsia" w:ascii="宋体" w:hAnsi="宋体" w:cs="宋体"/>
          <w:color w:val="auto"/>
          <w:sz w:val="24"/>
          <w:szCs w:val="24"/>
        </w:rPr>
        <w:t>日之前。</w:t>
      </w:r>
    </w:p>
    <w:p>
      <w:pPr>
        <w:snapToGrid w:val="0"/>
        <w:spacing w:line="360" w:lineRule="auto"/>
        <w:ind w:firstLine="480" w:firstLineChars="200"/>
        <w:rPr>
          <w:rFonts w:hint="eastAsia" w:ascii="宋体" w:hAnsi="宋体" w:cs="宋体"/>
          <w:color w:val="auto"/>
          <w:sz w:val="24"/>
          <w:szCs w:val="24"/>
          <w:u w:val="single"/>
        </w:rPr>
      </w:pPr>
      <w:r>
        <w:rPr>
          <w:rFonts w:hint="eastAsia" w:ascii="宋体" w:hAnsi="宋体" w:cs="宋体"/>
          <w:color w:val="auto"/>
          <w:sz w:val="24"/>
          <w:szCs w:val="24"/>
        </w:rPr>
        <w:t>交货地点：</w:t>
      </w:r>
      <w:r>
        <w:rPr>
          <w:rFonts w:hint="eastAsia" w:ascii="宋体" w:hAnsi="宋体" w:cs="宋体"/>
          <w:color w:val="auto"/>
          <w:sz w:val="24"/>
          <w:szCs w:val="24"/>
          <w:u w:val="single"/>
        </w:rPr>
        <w:t>甲方指定地点</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交货方式：</w:t>
      </w:r>
      <w:r>
        <w:rPr>
          <w:rFonts w:hint="eastAsia" w:ascii="宋体" w:hAnsi="宋体" w:cs="宋体"/>
          <w:color w:val="auto"/>
          <w:sz w:val="24"/>
          <w:szCs w:val="24"/>
          <w:u w:val="single"/>
        </w:rPr>
        <w:t>现场交货</w:t>
      </w:r>
    </w:p>
    <w:p>
      <w:pPr>
        <w:snapToGrid w:val="0"/>
        <w:spacing w:line="360" w:lineRule="auto"/>
        <w:ind w:firstLine="482" w:firstLineChars="200"/>
        <w:rPr>
          <w:rFonts w:hint="eastAsia" w:ascii="宋体" w:hAnsi="宋体" w:cs="宋体"/>
          <w:color w:val="auto"/>
          <w:sz w:val="24"/>
          <w:szCs w:val="24"/>
        </w:rPr>
      </w:pPr>
      <w:r>
        <w:rPr>
          <w:rFonts w:hint="eastAsia" w:ascii="宋体" w:hAnsi="宋体" w:cs="宋体"/>
          <w:b/>
          <w:color w:val="auto"/>
          <w:sz w:val="24"/>
          <w:szCs w:val="24"/>
        </w:rPr>
        <w:t>6. 合同的生效</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本合同一式陆份，双方各执叁份，经双方授权代表签署并加盖单位印章后生效。</w:t>
      </w:r>
    </w:p>
    <w:p>
      <w:pPr>
        <w:snapToGrid w:val="0"/>
        <w:spacing w:line="360" w:lineRule="auto"/>
        <w:ind w:firstLine="480" w:firstLineChars="200"/>
        <w:rPr>
          <w:rFonts w:hint="eastAsia" w:ascii="宋体" w:hAnsi="宋体" w:cs="宋体"/>
          <w:color w:val="auto"/>
          <w:sz w:val="24"/>
          <w:szCs w:val="24"/>
        </w:rPr>
      </w:pPr>
    </w:p>
    <w:p>
      <w:pPr>
        <w:spacing w:line="360" w:lineRule="auto"/>
        <w:rPr>
          <w:rFonts w:hint="eastAsia" w:ascii="宋体" w:hAnsi="宋体" w:cs="宋体"/>
          <w:color w:val="auto"/>
          <w:sz w:val="24"/>
          <w:szCs w:val="24"/>
        </w:rPr>
      </w:pPr>
      <w:r>
        <w:rPr>
          <w:rFonts w:hint="eastAsia" w:ascii="宋体" w:hAnsi="宋体" w:cs="宋体"/>
          <w:color w:val="auto"/>
          <w:sz w:val="24"/>
          <w:szCs w:val="24"/>
        </w:rPr>
        <w:br w:type="page"/>
      </w:r>
    </w:p>
    <w:p>
      <w:pPr>
        <w:spacing w:line="360" w:lineRule="auto"/>
        <w:rPr>
          <w:rFonts w:hint="eastAsia" w:ascii="宋体" w:hAnsi="宋体" w:cs="宋体"/>
          <w:color w:val="auto"/>
          <w:sz w:val="28"/>
          <w:szCs w:val="28"/>
        </w:rPr>
      </w:pPr>
      <w:r>
        <w:rPr>
          <w:rFonts w:hint="eastAsia" w:ascii="宋体" w:hAnsi="宋体" w:cs="宋体"/>
          <w:color w:val="auto"/>
          <w:sz w:val="24"/>
        </w:rPr>
        <w:t>（此页为签署页）</w:t>
      </w:r>
    </w:p>
    <w:p>
      <w:pPr>
        <w:snapToGrid w:val="0"/>
        <w:spacing w:line="360" w:lineRule="auto"/>
        <w:rPr>
          <w:rFonts w:hint="eastAsia" w:ascii="宋体" w:hAnsi="宋体" w:cs="宋体"/>
          <w:color w:val="auto"/>
          <w:sz w:val="24"/>
          <w:szCs w:val="24"/>
        </w:rPr>
      </w:pPr>
      <w:r>
        <w:rPr>
          <w:color w:val="auto"/>
          <w:sz w:val="24"/>
        </w:rPr>
        <w:pict>
          <v:shape id="文本框 4" o:spid="_x0000_s1027" o:spt="202" type="#_x0000_t202" style="position:absolute;left:0pt;margin-left:221.75pt;margin-top:23.3pt;height:654.85pt;width:208.2pt;z-index:251660288;mso-width-relative:page;mso-height-relative:page;" fillcolor="#FFFFFF" filled="t" stroked="f" coordsize="21600,21600" o:gfxdata="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OHUA4rWAAAACwEAAA8AAAAAAAAAAQAgAAAAIgAAAGRycy9kb3ducmV2LnhtbFBLAQIUABQAAAAI&#10;AIdO4kANOkwhYQIAAKoEAAAOAAAAAAAAAAEAIAAAACUBAABkcnMvZTJvRG9jLnhtbFBLBQYAAAAA&#10;BgAGAFkBAAD4BQAAAAA=&#10;">
            <v:path/>
            <v:fill on="t" focussize="0,0"/>
            <v:stroke on="f" weight="0.5pt"/>
            <v:imagedata o:title=""/>
            <o:lock v:ext="edit" aspectratio="f"/>
            <v:textbox>
              <w:txbxContent>
                <w:p>
                  <w:pPr>
                    <w:pStyle w:val="10"/>
                    <w:tabs>
                      <w:tab w:val="left" w:pos="4539"/>
                    </w:tabs>
                    <w:spacing w:beforeAutospacing="0" w:afterAutospacing="0" w:line="360" w:lineRule="auto"/>
                    <w:jc w:val="both"/>
                    <w:rPr>
                      <w:rFonts w:hint="default" w:ascii="宋体" w:hAnsi="宋体" w:eastAsia="宋体" w:cs="宋体"/>
                      <w:sz w:val="24"/>
                      <w:szCs w:val="24"/>
                      <w:lang w:val="en-US" w:eastAsia="zh-CN"/>
                    </w:rPr>
                  </w:pPr>
                  <w:r>
                    <w:rPr>
                      <w:rFonts w:hint="eastAsia" w:ascii="宋体" w:hAnsi="宋体" w:cs="宋体"/>
                      <w:sz w:val="24"/>
                      <w:szCs w:val="24"/>
                      <w:lang w:val="en-US" w:eastAsia="zh-CN"/>
                    </w:rPr>
                    <w:t>乙</w:t>
                  </w:r>
                  <w:r>
                    <w:rPr>
                      <w:rFonts w:hint="eastAsia" w:ascii="宋体" w:hAnsi="宋体" w:cs="宋体"/>
                      <w:sz w:val="24"/>
                      <w:szCs w:val="24"/>
                    </w:rPr>
                    <w:t>方：</w:t>
                  </w:r>
                </w:p>
                <w:p>
                  <w:pPr>
                    <w:pStyle w:val="10"/>
                    <w:tabs>
                      <w:tab w:val="left" w:pos="4539"/>
                    </w:tabs>
                    <w:spacing w:beforeAutospacing="0" w:afterAutospacing="0" w:line="360" w:lineRule="auto"/>
                    <w:jc w:val="both"/>
                    <w:rPr>
                      <w:rFonts w:hint="eastAsia" w:hAnsi="宋体" w:cs="宋体"/>
                      <w:szCs w:val="24"/>
                    </w:rPr>
                  </w:pPr>
                  <w:r>
                    <w:rPr>
                      <w:rFonts w:ascii="宋体" w:hAnsi="宋体" w:cs="宋体"/>
                      <w:kern w:val="2"/>
                      <w:szCs w:val="24"/>
                    </w:rPr>
                    <w:t xml:space="preserve">          </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法定代表人：</w:t>
                  </w:r>
                  <w:r>
                    <w:rPr>
                      <w:rFonts w:ascii="宋体" w:hAnsi="宋体" w:cs="宋体"/>
                      <w:kern w:val="2"/>
                      <w:szCs w:val="24"/>
                    </w:rPr>
                    <w:t xml:space="preserve">                          </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（或负责人）</w:t>
                  </w:r>
                  <w:r>
                    <w:rPr>
                      <w:rFonts w:ascii="宋体" w:hAnsi="宋体" w:cs="宋体"/>
                      <w:kern w:val="2"/>
                      <w:szCs w:val="24"/>
                    </w:rPr>
                    <w:t xml:space="preserve">                          </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授权代表（签字）</w:t>
                  </w:r>
                  <w:r>
                    <w:rPr>
                      <w:rFonts w:ascii="宋体" w:hAnsi="宋体" w:cs="宋体"/>
                      <w:kern w:val="2"/>
                      <w:szCs w:val="24"/>
                    </w:rPr>
                    <w:t xml:space="preserve">                    </w:t>
                  </w:r>
                </w:p>
                <w:p>
                  <w:pPr>
                    <w:pStyle w:val="10"/>
                    <w:tabs>
                      <w:tab w:val="left" w:pos="4539"/>
                    </w:tabs>
                    <w:spacing w:beforeAutospacing="0" w:afterAutospacing="0" w:line="360" w:lineRule="auto"/>
                    <w:ind w:left="4560" w:hanging="4560" w:hangingChars="1900"/>
                    <w:jc w:val="both"/>
                    <w:rPr>
                      <w:rFonts w:hint="eastAsia" w:ascii="宋体" w:hAnsi="宋体" w:cs="宋体"/>
                      <w:kern w:val="2"/>
                      <w:szCs w:val="24"/>
                    </w:rPr>
                  </w:pPr>
                </w:p>
                <w:p>
                  <w:pPr>
                    <w:pStyle w:val="10"/>
                    <w:tabs>
                      <w:tab w:val="left" w:pos="4539"/>
                    </w:tabs>
                    <w:spacing w:beforeAutospacing="0" w:afterAutospacing="0" w:line="360" w:lineRule="auto"/>
                    <w:ind w:left="4560" w:hanging="4560" w:hangingChars="1900"/>
                    <w:jc w:val="both"/>
                    <w:rPr>
                      <w:rFonts w:hint="eastAsia" w:ascii="宋体" w:hAnsi="宋体" w:cs="宋体"/>
                      <w:kern w:val="2"/>
                      <w:szCs w:val="24"/>
                    </w:rPr>
                  </w:pPr>
                  <w:r>
                    <w:rPr>
                      <w:rFonts w:hint="eastAsia" w:ascii="宋体" w:hAnsi="宋体" w:cs="宋体"/>
                      <w:kern w:val="2"/>
                      <w:szCs w:val="24"/>
                    </w:rPr>
                    <w:t>单位地址：</w:t>
                  </w:r>
                </w:p>
                <w:p>
                  <w:pPr>
                    <w:pStyle w:val="10"/>
                    <w:tabs>
                      <w:tab w:val="left" w:pos="4539"/>
                    </w:tabs>
                    <w:spacing w:beforeAutospacing="0" w:afterAutospacing="0" w:line="360" w:lineRule="auto"/>
                    <w:ind w:left="4560" w:hanging="4560" w:hangingChars="1900"/>
                    <w:jc w:val="both"/>
                    <w:rPr>
                      <w:rFonts w:hint="eastAsia" w:hAnsi="宋体" w:cs="宋体"/>
                      <w:szCs w:val="24"/>
                    </w:rPr>
                  </w:pPr>
                  <w:r>
                    <w:rPr>
                      <w:rFonts w:ascii="宋体" w:hAnsi="宋体" w:cs="宋体"/>
                      <w:kern w:val="2"/>
                      <w:szCs w:val="24"/>
                    </w:rPr>
                    <w:t xml:space="preserve">         </w:t>
                  </w:r>
                  <w:r>
                    <w:rPr>
                      <w:rFonts w:hint="eastAsia" w:ascii="宋体" w:hAnsi="宋体" w:cs="宋体"/>
                      <w:kern w:val="2"/>
                      <w:szCs w:val="24"/>
                    </w:rPr>
                    <w:t xml:space="preserve">         </w:t>
                  </w:r>
                  <w:r>
                    <w:rPr>
                      <w:rFonts w:hint="eastAsia" w:ascii="宋体" w:hAnsi="宋体" w:cs="宋体"/>
                      <w:kern w:val="2"/>
                      <w:szCs w:val="24"/>
                      <w:lang w:val="en-US" w:eastAsia="zh-CN"/>
                    </w:rPr>
                    <w:t xml:space="preserve">  </w:t>
                  </w:r>
                  <w:r>
                    <w:rPr>
                      <w:rFonts w:ascii="宋体" w:hAnsi="宋体" w:cs="宋体"/>
                      <w:kern w:val="2"/>
                      <w:szCs w:val="24"/>
                    </w:rPr>
                    <w:t xml:space="preserve">                                               </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邮政编码：</w:t>
                  </w:r>
                  <w:r>
                    <w:rPr>
                      <w:rFonts w:ascii="宋体" w:hAnsi="宋体" w:cs="宋体"/>
                      <w:kern w:val="2"/>
                      <w:szCs w:val="24"/>
                    </w:rPr>
                    <w:t xml:space="preserve">                             </w:t>
                  </w:r>
                </w:p>
                <w:p>
                  <w:pPr>
                    <w:rPr>
                      <w:rFonts w:hint="eastAsia" w:ascii="宋体" w:hAnsi="宋体" w:cs="宋体"/>
                      <w:szCs w:val="24"/>
                    </w:rPr>
                  </w:pP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w:t>
                  </w:r>
                  <w:r>
                    <w:rPr>
                      <w:rFonts w:ascii="宋体" w:hAnsi="宋体" w:cs="宋体"/>
                      <w:sz w:val="24"/>
                      <w:szCs w:val="24"/>
                    </w:rPr>
                    <w:t xml:space="preserve">                </w:t>
                  </w:r>
                </w:p>
                <w:p>
                  <w:pPr>
                    <w:rPr>
                      <w:rFonts w:hint="eastAsia" w:hAnsi="宋体" w:cs="宋体"/>
                      <w:szCs w:val="24"/>
                    </w:rPr>
                  </w:pPr>
                  <w:r>
                    <w:rPr>
                      <w:rFonts w:hint="eastAsia" w:ascii="宋体" w:hAnsi="宋体" w:cs="宋体"/>
                      <w:szCs w:val="24"/>
                    </w:rPr>
                    <w:t>传</w:t>
                  </w:r>
                  <w:r>
                    <w:rPr>
                      <w:rFonts w:ascii="宋体" w:hAnsi="宋体" w:cs="宋体"/>
                      <w:szCs w:val="24"/>
                    </w:rPr>
                    <w:t xml:space="preserve">    真：                            </w:t>
                  </w:r>
                  <w:r>
                    <w:rPr>
                      <w:rFonts w:hint="eastAsia" w:ascii="宋体" w:hAnsi="宋体" w:cs="宋体"/>
                      <w:szCs w:val="24"/>
                    </w:rPr>
                    <w:t xml:space="preserve">  </w:t>
                  </w:r>
                  <w:r>
                    <w:rPr>
                      <w:rFonts w:hint="eastAsia" w:ascii="宋体" w:hAnsi="宋体" w:cs="宋体"/>
                      <w:szCs w:val="24"/>
                      <w:lang w:val="en-US" w:eastAsia="zh-CN"/>
                    </w:rPr>
                    <w:t xml:space="preserve">    </w:t>
                  </w:r>
                  <w:r>
                    <w:rPr>
                      <w:rFonts w:ascii="宋体" w:hAnsi="宋体" w:cs="宋体"/>
                      <w:szCs w:val="24"/>
                    </w:rPr>
                    <w:t xml:space="preserve"> </w:t>
                  </w:r>
                </w:p>
                <w:p>
                  <w:pPr>
                    <w:pStyle w:val="10"/>
                    <w:spacing w:beforeAutospacing="0" w:afterAutospacing="0" w:line="360" w:lineRule="auto"/>
                    <w:ind w:left="5760" w:hanging="5760" w:hangingChars="2400"/>
                    <w:jc w:val="both"/>
                    <w:rPr>
                      <w:rFonts w:hint="eastAsia" w:ascii="宋体" w:hAnsi="宋体" w:cs="宋体"/>
                      <w:kern w:val="2"/>
                      <w:szCs w:val="24"/>
                    </w:rPr>
                  </w:pPr>
                  <w:r>
                    <w:rPr>
                      <w:rFonts w:hint="eastAsia" w:ascii="宋体" w:hAnsi="宋体" w:cs="宋体"/>
                      <w:kern w:val="2"/>
                      <w:szCs w:val="24"/>
                    </w:rPr>
                    <w:t xml:space="preserve">开户银行： </w:t>
                  </w:r>
                  <w:r>
                    <w:rPr>
                      <w:rFonts w:ascii="宋体" w:hAnsi="宋体" w:cs="宋体"/>
                      <w:kern w:val="2"/>
                      <w:szCs w:val="24"/>
                    </w:rPr>
                    <w:t xml:space="preserve">      </w:t>
                  </w:r>
                  <w:r>
                    <w:rPr>
                      <w:rFonts w:hint="eastAsia" w:ascii="宋体" w:hAnsi="宋体" w:cs="宋体"/>
                      <w:kern w:val="2"/>
                      <w:szCs w:val="24"/>
                      <w:lang w:val="en-US" w:eastAsia="zh-CN"/>
                    </w:rPr>
                    <w:t xml:space="preserve"> </w:t>
                  </w:r>
                  <w:r>
                    <w:rPr>
                      <w:rFonts w:hint="eastAsia" w:ascii="宋体" w:hAnsi="宋体" w:cs="宋体"/>
                      <w:kern w:val="2"/>
                      <w:szCs w:val="24"/>
                    </w:rPr>
                    <w:t xml:space="preserve"> </w:t>
                  </w:r>
                </w:p>
                <w:p>
                  <w:pPr>
                    <w:pStyle w:val="10"/>
                    <w:tabs>
                      <w:tab w:val="left" w:pos="4539"/>
                    </w:tabs>
                    <w:spacing w:beforeAutospacing="0" w:afterAutospacing="0" w:line="360" w:lineRule="auto"/>
                    <w:jc w:val="both"/>
                    <w:rPr>
                      <w:rFonts w:hint="eastAsia" w:hAnsi="宋体" w:cs="宋体"/>
                      <w:b/>
                      <w:bCs/>
                      <w:szCs w:val="24"/>
                    </w:rPr>
                  </w:pPr>
                  <w:r>
                    <w:rPr>
                      <w:rFonts w:hint="eastAsia" w:ascii="宋体" w:hAnsi="宋体" w:cs="宋体"/>
                      <w:kern w:val="2"/>
                      <w:szCs w:val="24"/>
                    </w:rPr>
                    <w:t>银行帐号：</w:t>
                  </w:r>
                  <w:r>
                    <w:rPr>
                      <w:rFonts w:ascii="宋体" w:hAnsi="宋体" w:cs="宋体"/>
                      <w:kern w:val="2"/>
                      <w:szCs w:val="24"/>
                    </w:rPr>
                    <w:t xml:space="preserve">         </w:t>
                  </w:r>
                  <w:r>
                    <w:rPr>
                      <w:rFonts w:hint="eastAsia" w:ascii="宋体" w:hAnsi="宋体" w:cs="宋体"/>
                      <w:kern w:val="2"/>
                      <w:szCs w:val="24"/>
                    </w:rPr>
                    <w:t xml:space="preserve"> </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项目负责人：</w:t>
                  </w:r>
                  <w:r>
                    <w:rPr>
                      <w:rFonts w:ascii="宋体" w:hAnsi="宋体" w:cs="宋体"/>
                      <w:kern w:val="2"/>
                      <w:szCs w:val="24"/>
                    </w:rPr>
                    <w:t xml:space="preserve">                             </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联系方式：</w:t>
                  </w:r>
                  <w:r>
                    <w:rPr>
                      <w:rFonts w:ascii="宋体" w:hAnsi="宋体" w:cs="宋体"/>
                      <w:kern w:val="2"/>
                      <w:szCs w:val="24"/>
                    </w:rPr>
                    <w:t xml:space="preserve">                                   </w:t>
                  </w:r>
                </w:p>
                <w:p>
                  <w:pPr>
                    <w:spacing w:line="360" w:lineRule="auto"/>
                    <w:rPr>
                      <w:rFonts w:hint="eastAsia" w:ascii="宋体" w:hAnsi="宋体" w:cs="宋体"/>
                      <w:sz w:val="24"/>
                      <w:szCs w:val="24"/>
                    </w:rPr>
                  </w:pPr>
                  <w:r>
                    <w:rPr>
                      <w:rFonts w:hint="eastAsia" w:ascii="宋体" w:hAnsi="宋体" w:cs="宋体"/>
                      <w:sz w:val="24"/>
                      <w:szCs w:val="24"/>
                    </w:rPr>
                    <w:t>签署时间：</w:t>
                  </w: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r>
                    <w:rPr>
                      <w:rFonts w:ascii="宋体" w:hAnsi="宋体" w:cs="宋体"/>
                      <w:sz w:val="24"/>
                      <w:szCs w:val="24"/>
                    </w:rPr>
                    <w:t xml:space="preserve">               </w:t>
                  </w:r>
                </w:p>
              </w:txbxContent>
            </v:textbox>
          </v:shape>
        </w:pict>
      </w:r>
      <w:r>
        <w:rPr>
          <w:color w:val="auto"/>
          <w:sz w:val="24"/>
        </w:rPr>
        <w:pict>
          <v:shape id="文本框 3" o:spid="_x0000_s1026" o:spt="202" type="#_x0000_t202" style="position:absolute;left:0pt;margin-left:-9.55pt;margin-top:22.95pt;height:654.85pt;width:203.65pt;z-index:251659264;mso-width-relative:page;mso-height-relative:page;" fillcolor="#FFFFFF" filled="t" stroked="f" coordsize="21600,21600" o:gfxdata="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HS0gbDXAAAACwEAAA8AAAAAAAAAAQAgAAAAIgAAAGRycy9kb3ducmV2LnhtbFBLAQIUABQA&#10;AAAIAIdO4kDlI/QHYwIAAKoEAAAOAAAAAAAAAAEAIAAAACYBAABkcnMvZTJvRG9jLnhtbFBLBQYA&#10;AAAABgAGAFkBAAD7BQAAAAA=&#10;">
            <v:path/>
            <v:fill on="t" focussize="0,0"/>
            <v:stroke on="f" weight="0.5pt"/>
            <v:imagedata o:title=""/>
            <o:lock v:ext="edit" aspectratio="f"/>
            <v:textbox>
              <w:txbxContent>
                <w:p>
                  <w:pPr>
                    <w:pStyle w:val="10"/>
                    <w:tabs>
                      <w:tab w:val="left" w:pos="4539"/>
                    </w:tabs>
                    <w:spacing w:beforeAutospacing="0" w:afterAutospacing="0" w:line="360" w:lineRule="auto"/>
                    <w:jc w:val="both"/>
                    <w:rPr>
                      <w:rFonts w:hint="eastAsia" w:ascii="宋体" w:hAnsi="宋体" w:cs="宋体"/>
                      <w:sz w:val="24"/>
                      <w:szCs w:val="24"/>
                    </w:rPr>
                  </w:pPr>
                  <w:r>
                    <w:rPr>
                      <w:rFonts w:hint="eastAsia" w:ascii="宋体" w:hAnsi="宋体" w:cs="宋体"/>
                      <w:sz w:val="24"/>
                      <w:szCs w:val="24"/>
                    </w:rPr>
                    <w:t>甲方：国家文物局考古研究中心</w:t>
                  </w:r>
                </w:p>
                <w:p>
                  <w:pPr>
                    <w:pStyle w:val="10"/>
                    <w:tabs>
                      <w:tab w:val="left" w:pos="4539"/>
                    </w:tabs>
                    <w:spacing w:beforeAutospacing="0" w:afterAutospacing="0" w:line="360" w:lineRule="auto"/>
                    <w:jc w:val="both"/>
                    <w:rPr>
                      <w:rFonts w:hint="eastAsia" w:hAnsi="宋体" w:cs="宋体"/>
                      <w:szCs w:val="24"/>
                    </w:rPr>
                  </w:pPr>
                  <w:r>
                    <w:rPr>
                      <w:rFonts w:ascii="宋体" w:hAnsi="宋体" w:cs="宋体"/>
                      <w:sz w:val="24"/>
                      <w:szCs w:val="24"/>
                    </w:rPr>
                    <w:t xml:space="preserve">  </w:t>
                  </w:r>
                  <w:r>
                    <w:rPr>
                      <w:rFonts w:ascii="宋体" w:hAnsi="宋体" w:cs="宋体"/>
                      <w:kern w:val="2"/>
                      <w:szCs w:val="24"/>
                    </w:rPr>
                    <w:t xml:space="preserve">         </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法定代表人：</w:t>
                  </w:r>
                  <w:r>
                    <w:rPr>
                      <w:rFonts w:ascii="宋体" w:hAnsi="宋体" w:cs="宋体"/>
                      <w:kern w:val="2"/>
                      <w:szCs w:val="24"/>
                    </w:rPr>
                    <w:t xml:space="preserve">                          </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（或负责人）</w:t>
                  </w:r>
                  <w:r>
                    <w:rPr>
                      <w:rFonts w:ascii="宋体" w:hAnsi="宋体" w:cs="宋体"/>
                      <w:kern w:val="2"/>
                      <w:szCs w:val="24"/>
                    </w:rPr>
                    <w:t xml:space="preserve">                          </w:t>
                  </w:r>
                </w:p>
                <w:p>
                  <w:pPr>
                    <w:pStyle w:val="10"/>
                    <w:tabs>
                      <w:tab w:val="left" w:pos="4539"/>
                    </w:tabs>
                    <w:spacing w:beforeAutospacing="0" w:afterAutospacing="0" w:line="360" w:lineRule="auto"/>
                    <w:jc w:val="both"/>
                    <w:rPr>
                      <w:rFonts w:hint="eastAsia" w:ascii="宋体" w:hAnsi="宋体" w:cs="宋体"/>
                      <w:kern w:val="2"/>
                      <w:szCs w:val="24"/>
                    </w:rPr>
                  </w:pPr>
                  <w:r>
                    <w:rPr>
                      <w:rFonts w:hint="eastAsia" w:ascii="宋体" w:hAnsi="宋体" w:cs="宋体"/>
                      <w:kern w:val="2"/>
                      <w:szCs w:val="24"/>
                    </w:rPr>
                    <w:t>授权代表（签字）</w:t>
                  </w:r>
                </w:p>
                <w:p>
                  <w:pPr>
                    <w:pStyle w:val="10"/>
                    <w:tabs>
                      <w:tab w:val="left" w:pos="4539"/>
                    </w:tabs>
                    <w:spacing w:beforeAutospacing="0" w:afterAutospacing="0" w:line="360" w:lineRule="auto"/>
                    <w:jc w:val="both"/>
                    <w:rPr>
                      <w:rFonts w:hint="eastAsia" w:hAnsi="宋体" w:cs="宋体"/>
                      <w:szCs w:val="24"/>
                    </w:rPr>
                  </w:pPr>
                  <w:r>
                    <w:rPr>
                      <w:rFonts w:ascii="宋体" w:hAnsi="宋体" w:cs="宋体"/>
                      <w:kern w:val="2"/>
                      <w:szCs w:val="24"/>
                    </w:rPr>
                    <w:t xml:space="preserve">                      </w:t>
                  </w:r>
                </w:p>
                <w:p>
                  <w:pPr>
                    <w:pStyle w:val="10"/>
                    <w:tabs>
                      <w:tab w:val="left" w:pos="4539"/>
                    </w:tabs>
                    <w:spacing w:beforeAutospacing="0" w:afterAutospacing="0" w:line="360" w:lineRule="auto"/>
                    <w:ind w:left="4800" w:hanging="4800" w:hangingChars="2000"/>
                    <w:jc w:val="both"/>
                    <w:rPr>
                      <w:rFonts w:hint="eastAsia" w:hAnsi="宋体" w:cs="宋体"/>
                      <w:szCs w:val="24"/>
                    </w:rPr>
                  </w:pPr>
                  <w:r>
                    <w:rPr>
                      <w:rFonts w:hint="eastAsia" w:ascii="宋体" w:hAnsi="宋体" w:cs="宋体"/>
                      <w:kern w:val="2"/>
                      <w:szCs w:val="24"/>
                    </w:rPr>
                    <w:t>单位地址：北京市朝阳区和平里</w:t>
                  </w:r>
                  <w:r>
                    <w:rPr>
                      <w:rFonts w:hint="eastAsia" w:ascii="宋体" w:hAnsi="宋体" w:cs="宋体"/>
                      <w:kern w:val="2"/>
                      <w:szCs w:val="24"/>
                      <w:lang w:val="en-US" w:eastAsia="zh-CN"/>
                    </w:rPr>
                    <w:t>南</w:t>
                  </w:r>
                  <w:r>
                    <w:rPr>
                      <w:rFonts w:hint="eastAsia" w:ascii="宋体" w:hAnsi="宋体" w:cs="宋体"/>
                      <w:kern w:val="2"/>
                      <w:szCs w:val="24"/>
                    </w:rPr>
                    <w:t>街</w:t>
                  </w:r>
                </w:p>
                <w:p>
                  <w:pPr>
                    <w:pStyle w:val="10"/>
                    <w:tabs>
                      <w:tab w:val="left" w:pos="4539"/>
                    </w:tabs>
                    <w:spacing w:beforeAutospacing="0" w:afterAutospacing="0" w:line="360" w:lineRule="auto"/>
                    <w:ind w:left="4560" w:hanging="4560" w:hangingChars="1900"/>
                    <w:jc w:val="both"/>
                    <w:rPr>
                      <w:rFonts w:hint="eastAsia" w:hAnsi="宋体" w:cs="宋体"/>
                      <w:szCs w:val="24"/>
                    </w:rPr>
                  </w:pPr>
                  <w:r>
                    <w:rPr>
                      <w:rFonts w:hint="eastAsia" w:ascii="宋体" w:hAnsi="宋体" w:cs="宋体"/>
                      <w:kern w:val="2"/>
                      <w:szCs w:val="24"/>
                    </w:rPr>
                    <w:t>砖角楼南里甲</w:t>
                  </w:r>
                  <w:r>
                    <w:rPr>
                      <w:rFonts w:ascii="宋体" w:hAnsi="宋体" w:cs="宋体"/>
                      <w:kern w:val="2"/>
                      <w:szCs w:val="24"/>
                    </w:rPr>
                    <w:t xml:space="preserve">21号         </w:t>
                  </w:r>
                  <w:r>
                    <w:rPr>
                      <w:rFonts w:hint="eastAsia" w:ascii="宋体" w:hAnsi="宋体" w:cs="宋体"/>
                      <w:kern w:val="2"/>
                      <w:szCs w:val="24"/>
                    </w:rPr>
                    <w:t xml:space="preserve">         </w:t>
                  </w:r>
                  <w:r>
                    <w:rPr>
                      <w:rFonts w:hint="eastAsia" w:ascii="宋体" w:hAnsi="宋体" w:cs="宋体"/>
                      <w:kern w:val="2"/>
                      <w:szCs w:val="24"/>
                      <w:lang w:val="en-US" w:eastAsia="zh-CN"/>
                    </w:rPr>
                    <w:t xml:space="preserve">  </w:t>
                  </w:r>
                  <w:r>
                    <w:rPr>
                      <w:rFonts w:ascii="宋体" w:hAnsi="宋体" w:cs="宋体"/>
                      <w:kern w:val="2"/>
                      <w:szCs w:val="24"/>
                    </w:rPr>
                    <w:t xml:space="preserve">                                               </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邮政编码：</w:t>
                  </w:r>
                  <w:r>
                    <w:rPr>
                      <w:rFonts w:hint="eastAsia" w:ascii="宋体" w:hAnsi="宋体" w:cs="宋体"/>
                      <w:kern w:val="2"/>
                      <w:szCs w:val="24"/>
                      <w:lang w:val="en-US" w:eastAsia="zh-CN"/>
                    </w:rPr>
                    <w:t>100013</w:t>
                  </w:r>
                  <w:r>
                    <w:rPr>
                      <w:rFonts w:ascii="宋体" w:hAnsi="宋体" w:cs="宋体"/>
                      <w:kern w:val="2"/>
                      <w:szCs w:val="24"/>
                    </w:rPr>
                    <w:t xml:space="preserve">                             </w:t>
                  </w:r>
                </w:p>
                <w:p>
                  <w:pPr>
                    <w:rPr>
                      <w:rFonts w:hint="eastAsia" w:ascii="宋体" w:hAnsi="宋体" w:cs="宋体"/>
                      <w:szCs w:val="24"/>
                    </w:rPr>
                  </w:pP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话：010-64285646</w:t>
                  </w:r>
                  <w:r>
                    <w:rPr>
                      <w:rFonts w:ascii="宋体" w:hAnsi="宋体" w:cs="宋体"/>
                      <w:sz w:val="24"/>
                      <w:szCs w:val="24"/>
                    </w:rPr>
                    <w:t xml:space="preserve">                </w:t>
                  </w:r>
                </w:p>
                <w:p>
                  <w:pPr>
                    <w:rPr>
                      <w:rFonts w:hint="eastAsia" w:hAnsi="宋体" w:cs="宋体"/>
                      <w:szCs w:val="24"/>
                    </w:rPr>
                  </w:pPr>
                  <w:r>
                    <w:rPr>
                      <w:rFonts w:hint="eastAsia" w:ascii="宋体" w:hAnsi="宋体" w:cs="宋体"/>
                      <w:szCs w:val="24"/>
                    </w:rPr>
                    <w:t>传</w:t>
                  </w:r>
                  <w:r>
                    <w:rPr>
                      <w:rFonts w:ascii="宋体" w:hAnsi="宋体" w:cs="宋体"/>
                      <w:szCs w:val="24"/>
                    </w:rPr>
                    <w:t xml:space="preserve">    真：                            </w:t>
                  </w:r>
                  <w:r>
                    <w:rPr>
                      <w:rFonts w:hint="eastAsia" w:ascii="宋体" w:hAnsi="宋体" w:cs="宋体"/>
                      <w:szCs w:val="24"/>
                    </w:rPr>
                    <w:t xml:space="preserve">  </w:t>
                  </w:r>
                  <w:r>
                    <w:rPr>
                      <w:rFonts w:hint="eastAsia" w:ascii="宋体" w:hAnsi="宋体" w:cs="宋体"/>
                      <w:szCs w:val="24"/>
                      <w:lang w:val="en-US" w:eastAsia="zh-CN"/>
                    </w:rPr>
                    <w:t xml:space="preserve">    </w:t>
                  </w:r>
                  <w:r>
                    <w:rPr>
                      <w:rFonts w:ascii="宋体" w:hAnsi="宋体" w:cs="宋体"/>
                      <w:szCs w:val="24"/>
                    </w:rPr>
                    <w:t xml:space="preserve"> </w:t>
                  </w:r>
                </w:p>
                <w:p>
                  <w:pPr>
                    <w:pStyle w:val="10"/>
                    <w:spacing w:beforeAutospacing="0" w:afterAutospacing="0" w:line="360" w:lineRule="auto"/>
                    <w:ind w:left="5760" w:hanging="5760" w:hangingChars="2400"/>
                    <w:jc w:val="both"/>
                    <w:rPr>
                      <w:rFonts w:hint="eastAsia" w:ascii="宋体" w:hAnsi="宋体" w:cs="宋体"/>
                      <w:kern w:val="2"/>
                      <w:szCs w:val="24"/>
                    </w:rPr>
                  </w:pPr>
                  <w:r>
                    <w:rPr>
                      <w:rFonts w:hint="eastAsia" w:ascii="宋体" w:hAnsi="宋体" w:cs="宋体"/>
                      <w:kern w:val="2"/>
                      <w:szCs w:val="24"/>
                    </w:rPr>
                    <w:t xml:space="preserve">开户银行：光大银行惠新西街支行 </w:t>
                  </w:r>
                  <w:r>
                    <w:rPr>
                      <w:rFonts w:ascii="宋体" w:hAnsi="宋体" w:cs="宋体"/>
                      <w:kern w:val="2"/>
                      <w:szCs w:val="24"/>
                    </w:rPr>
                    <w:t xml:space="preserve">      </w:t>
                  </w:r>
                  <w:r>
                    <w:rPr>
                      <w:rFonts w:hint="eastAsia" w:ascii="宋体" w:hAnsi="宋体" w:cs="宋体"/>
                      <w:kern w:val="2"/>
                      <w:szCs w:val="24"/>
                      <w:lang w:val="en-US" w:eastAsia="zh-CN"/>
                    </w:rPr>
                    <w:t xml:space="preserve"> </w:t>
                  </w:r>
                  <w:r>
                    <w:rPr>
                      <w:rFonts w:hint="eastAsia" w:ascii="宋体" w:hAnsi="宋体" w:cs="宋体"/>
                      <w:kern w:val="2"/>
                      <w:szCs w:val="24"/>
                    </w:rPr>
                    <w:t xml:space="preserve"> </w:t>
                  </w:r>
                </w:p>
                <w:p>
                  <w:pPr>
                    <w:pStyle w:val="10"/>
                    <w:tabs>
                      <w:tab w:val="left" w:pos="4539"/>
                    </w:tabs>
                    <w:spacing w:beforeAutospacing="0" w:afterAutospacing="0" w:line="360" w:lineRule="auto"/>
                    <w:jc w:val="both"/>
                    <w:rPr>
                      <w:rFonts w:hint="eastAsia" w:hAnsi="宋体" w:cs="宋体"/>
                      <w:b/>
                      <w:bCs/>
                      <w:szCs w:val="24"/>
                    </w:rPr>
                  </w:pPr>
                  <w:r>
                    <w:rPr>
                      <w:rFonts w:hint="eastAsia" w:ascii="宋体" w:hAnsi="宋体" w:cs="宋体"/>
                      <w:kern w:val="2"/>
                      <w:szCs w:val="24"/>
                    </w:rPr>
                    <w:t>银行帐号：35240188000098721</w:t>
                  </w:r>
                  <w:r>
                    <w:rPr>
                      <w:rFonts w:ascii="宋体" w:hAnsi="宋体" w:cs="宋体"/>
                      <w:kern w:val="2"/>
                      <w:szCs w:val="24"/>
                    </w:rPr>
                    <w:t xml:space="preserve">          </w:t>
                  </w:r>
                  <w:r>
                    <w:rPr>
                      <w:rFonts w:hint="eastAsia" w:ascii="宋体" w:hAnsi="宋体" w:cs="宋体"/>
                      <w:kern w:val="2"/>
                      <w:szCs w:val="24"/>
                    </w:rPr>
                    <w:t xml:space="preserve"> </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项目负责人：</w:t>
                  </w:r>
                  <w:r>
                    <w:rPr>
                      <w:rFonts w:ascii="宋体" w:hAnsi="宋体" w:cs="宋体"/>
                      <w:kern w:val="2"/>
                      <w:szCs w:val="24"/>
                    </w:rPr>
                    <w:t xml:space="preserve">                             </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联系方式：</w:t>
                  </w:r>
                  <w:r>
                    <w:rPr>
                      <w:rFonts w:ascii="宋体" w:hAnsi="宋体" w:cs="宋体"/>
                      <w:kern w:val="2"/>
                      <w:szCs w:val="24"/>
                    </w:rPr>
                    <w:t xml:space="preserve">                                   </w:t>
                  </w:r>
                </w:p>
                <w:p>
                  <w:pPr>
                    <w:spacing w:line="360" w:lineRule="auto"/>
                    <w:rPr>
                      <w:rFonts w:hint="eastAsia" w:ascii="宋体" w:hAnsi="宋体" w:cs="宋体"/>
                      <w:sz w:val="24"/>
                      <w:szCs w:val="24"/>
                    </w:rPr>
                  </w:pPr>
                  <w:r>
                    <w:rPr>
                      <w:rFonts w:hint="eastAsia" w:ascii="宋体" w:hAnsi="宋体" w:cs="宋体"/>
                      <w:sz w:val="24"/>
                      <w:szCs w:val="24"/>
                    </w:rPr>
                    <w:t>签署时间：</w:t>
                  </w: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r>
                    <w:rPr>
                      <w:rFonts w:ascii="宋体" w:hAnsi="宋体" w:cs="宋体"/>
                      <w:sz w:val="24"/>
                      <w:szCs w:val="24"/>
                    </w:rPr>
                    <w:t xml:space="preserve">               </w:t>
                  </w:r>
                </w:p>
              </w:txbxContent>
            </v:textbox>
          </v:shape>
        </w:pict>
      </w:r>
    </w:p>
    <w:p>
      <w:pPr>
        <w:snapToGrid w:val="0"/>
        <w:spacing w:line="360" w:lineRule="auto"/>
        <w:rPr>
          <w:rFonts w:hint="eastAsia" w:ascii="宋体" w:hAnsi="宋体" w:cs="宋体"/>
          <w:color w:val="auto"/>
          <w:sz w:val="24"/>
          <w:szCs w:val="24"/>
        </w:rPr>
      </w:pPr>
    </w:p>
    <w:p>
      <w:pPr>
        <w:pStyle w:val="2"/>
        <w:widowControl/>
        <w:spacing w:before="0" w:line="360" w:lineRule="auto"/>
        <w:ind w:firstLine="482" w:firstLineChars="200"/>
        <w:rPr>
          <w:rFonts w:hint="eastAsia" w:ascii="宋体" w:hAnsi="宋体" w:eastAsia="宋体" w:cs="宋体"/>
          <w:color w:val="auto"/>
          <w:sz w:val="32"/>
          <w:szCs w:val="32"/>
        </w:rPr>
      </w:pPr>
      <w:r>
        <w:rPr>
          <w:rFonts w:ascii="宋体" w:hAnsi="宋体" w:eastAsia="宋体" w:cs="宋体"/>
          <w:color w:val="auto"/>
          <w:sz w:val="24"/>
          <w:szCs w:val="24"/>
        </w:rPr>
        <w:br w:type="page"/>
      </w:r>
      <w:bookmarkStart w:id="0" w:name="_Toc513573535"/>
      <w:bookmarkStart w:id="1" w:name="_Toc12613700"/>
      <w:bookmarkStart w:id="2" w:name="_Toc474755267"/>
      <w:r>
        <w:rPr>
          <w:rFonts w:hint="eastAsia" w:ascii="宋体" w:hAnsi="宋体" w:eastAsia="宋体" w:cs="宋体"/>
          <w:color w:val="auto"/>
          <w:sz w:val="32"/>
          <w:szCs w:val="32"/>
        </w:rPr>
        <w:t>合同条款</w:t>
      </w:r>
      <w:bookmarkEnd w:id="0"/>
      <w:bookmarkEnd w:id="1"/>
      <w:bookmarkEnd w:id="2"/>
    </w:p>
    <w:p>
      <w:pPr>
        <w:pStyle w:val="2"/>
        <w:widowControl/>
        <w:spacing w:before="0" w:line="360" w:lineRule="auto"/>
        <w:ind w:firstLine="482" w:firstLineChars="200"/>
        <w:rPr>
          <w:rFonts w:hint="eastAsia" w:ascii="宋体" w:hAnsi="宋体" w:eastAsia="宋体" w:cs="宋体"/>
          <w:color w:val="auto"/>
          <w:sz w:val="24"/>
          <w:szCs w:val="24"/>
        </w:rPr>
      </w:pPr>
    </w:p>
    <w:p>
      <w:pPr>
        <w:pStyle w:val="3"/>
        <w:widowControl/>
        <w:numPr>
          <w:ilvl w:val="0"/>
          <w:numId w:val="3"/>
        </w:numPr>
        <w:tabs>
          <w:tab w:val="left" w:pos="901"/>
        </w:tabs>
        <w:snapToGrid w:val="0"/>
        <w:spacing w:before="0" w:after="0" w:line="360" w:lineRule="auto"/>
        <w:ind w:firstLine="482" w:firstLineChars="200"/>
        <w:rPr>
          <w:rFonts w:hAnsi="宋体" w:cs="宋体"/>
          <w:color w:val="auto"/>
          <w:szCs w:val="24"/>
        </w:rPr>
      </w:pPr>
      <w:bookmarkStart w:id="3" w:name="_Toc366495192"/>
      <w:r>
        <w:rPr>
          <w:rFonts w:hAnsi="宋体" w:cs="宋体"/>
          <w:color w:val="auto"/>
          <w:szCs w:val="24"/>
          <w:u w:val="none"/>
        </w:rPr>
        <w:t>定义</w:t>
      </w:r>
      <w:bookmarkEnd w:id="3"/>
    </w:p>
    <w:p>
      <w:pPr>
        <w:tabs>
          <w:tab w:val="left" w:pos="901"/>
        </w:tabs>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本合同中的下列术语应解释为：</w:t>
      </w:r>
    </w:p>
    <w:p>
      <w:pPr>
        <w:pStyle w:val="16"/>
        <w:widowControl w:val="0"/>
        <w:snapToGrid w:val="0"/>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1.1 “合同”系指买卖双方签署的、合同格式</w:t>
      </w:r>
      <w:bookmarkStart w:id="4" w:name="_Toc289327686"/>
      <w:bookmarkStart w:id="5" w:name="_Toc330473009"/>
      <w:r>
        <w:rPr>
          <w:rFonts w:hint="eastAsia" w:ascii="宋体" w:hAnsi="宋体" w:eastAsia="宋体" w:cs="宋体"/>
          <w:color w:val="auto"/>
          <w:szCs w:val="24"/>
        </w:rPr>
        <w:t>中载明的买卖双方所</w:t>
      </w:r>
      <w:bookmarkEnd w:id="4"/>
      <w:bookmarkEnd w:id="5"/>
      <w:r>
        <w:rPr>
          <w:rFonts w:hint="eastAsia" w:ascii="宋体" w:hAnsi="宋体" w:eastAsia="宋体" w:cs="宋体"/>
          <w:color w:val="auto"/>
          <w:szCs w:val="24"/>
        </w:rPr>
        <w:t>达成的合同，包括所有的附件、附录和构成合同的其它文件。</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1.2 “合同价”系指根据合同约定，卖方在完全履行合同义务后买方应付给卖方的价格。</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 “货物”系指卖方根据合同约定须向买方提供的一切设备、机械、仪表、备件，包括工具、手册等其它相关资料。“服务”系指根据合同约定卖方承担与供货有关的辅助服务，如运输、保险及安装、调试、提供技术援助、培训和其他类似的服务。</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1.4 “买方”系指与中标人/成交人签署供货合同的单位（含最终用户）。</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1.5 “卖方”系指根据合同约定提供货物及相关服务的中标人/成交人。</w:t>
      </w:r>
    </w:p>
    <w:p>
      <w:pPr>
        <w:tabs>
          <w:tab w:val="left" w:pos="901"/>
        </w:tabs>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1.6 “现场”系指合同约定货物将要运至和安装的地点。</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1.7 “验收”系指合同双方依据强制性的国家技术质量规范和合同约定，确认合同项下的货物符合合同规定的活动。</w:t>
      </w:r>
    </w:p>
    <w:p>
      <w:pPr>
        <w:pStyle w:val="3"/>
        <w:widowControl/>
        <w:snapToGrid w:val="0"/>
        <w:spacing w:before="0" w:after="0" w:line="360" w:lineRule="auto"/>
        <w:ind w:firstLine="482" w:firstLineChars="200"/>
        <w:jc w:val="both"/>
        <w:rPr>
          <w:rFonts w:hAnsi="宋体" w:cs="宋体"/>
          <w:color w:val="auto"/>
          <w:szCs w:val="24"/>
        </w:rPr>
      </w:pPr>
      <w:bookmarkStart w:id="6" w:name="_Toc366495193"/>
      <w:r>
        <w:rPr>
          <w:rFonts w:hAnsi="宋体" w:cs="宋体"/>
          <w:color w:val="auto"/>
          <w:szCs w:val="24"/>
          <w:u w:val="none"/>
        </w:rPr>
        <w:t>2. 技术规范</w:t>
      </w:r>
      <w:bookmarkEnd w:id="6"/>
    </w:p>
    <w:p>
      <w:pPr>
        <w:tabs>
          <w:tab w:val="left" w:pos="901"/>
        </w:tabs>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2.1 提交货物的技术规范应与招标文件/谈判文件、报价文件规定的技术规范和技术规范附件（</w:t>
      </w:r>
      <w:bookmarkStart w:id="7" w:name="_Toc330473010"/>
      <w:bookmarkStart w:id="8" w:name="_Toc289327687"/>
      <w:r>
        <w:rPr>
          <w:rFonts w:hint="eastAsia" w:ascii="宋体" w:hAnsi="宋体" w:cs="宋体"/>
          <w:color w:val="auto"/>
          <w:sz w:val="24"/>
          <w:szCs w:val="24"/>
        </w:rPr>
        <w:t>如果有的话）及其投标文件</w:t>
      </w:r>
      <w:bookmarkEnd w:id="7"/>
      <w:bookmarkEnd w:id="8"/>
      <w:r>
        <w:rPr>
          <w:rFonts w:hint="eastAsia" w:ascii="宋体" w:hAnsi="宋体" w:cs="宋体"/>
          <w:color w:val="auto"/>
          <w:sz w:val="24"/>
          <w:szCs w:val="24"/>
        </w:rPr>
        <w:t>的技术规范偏差表（如果有且被买方接受的话）相一致。若技术规范中无相应说明，则以国家有关部门最新颁布的相应标准及规范为准。</w:t>
      </w:r>
    </w:p>
    <w:p>
      <w:pPr>
        <w:pStyle w:val="3"/>
        <w:widowControl/>
        <w:snapToGrid w:val="0"/>
        <w:spacing w:before="0" w:after="0" w:line="360" w:lineRule="auto"/>
        <w:ind w:firstLine="482" w:firstLineChars="200"/>
        <w:jc w:val="both"/>
        <w:rPr>
          <w:rFonts w:hAnsi="宋体" w:cs="宋体"/>
          <w:color w:val="auto"/>
          <w:szCs w:val="24"/>
        </w:rPr>
      </w:pPr>
      <w:bookmarkStart w:id="9" w:name="_Toc366495194"/>
      <w:r>
        <w:rPr>
          <w:rFonts w:hAnsi="宋体" w:cs="宋体"/>
          <w:color w:val="auto"/>
          <w:szCs w:val="24"/>
          <w:u w:val="none"/>
        </w:rPr>
        <w:t>3. 知识产权</w:t>
      </w:r>
      <w:bookmarkEnd w:id="9"/>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3.1 卖方应</w:t>
      </w:r>
      <w:r>
        <w:rPr>
          <w:rFonts w:hint="eastAsia" w:ascii="宋体" w:hAnsi="宋体" w:cs="宋体"/>
          <w:color w:val="auto"/>
          <w:sz w:val="24"/>
          <w:szCs w:val="24"/>
          <w:lang w:val="en-US" w:eastAsia="zh-CN"/>
        </w:rPr>
        <w:t>承诺可合法取得本项目全部模型的原型船图纸，并保证我方在使用该货物或其任何一部分时不受第三方提出的侵犯专利权、著作权、商标权和工业设计权等的诉讼。</w:t>
      </w:r>
      <w:r>
        <w:rPr>
          <w:rFonts w:hint="eastAsia" w:ascii="宋体" w:hAnsi="宋体" w:cs="宋体"/>
          <w:color w:val="auto"/>
          <w:sz w:val="24"/>
          <w:szCs w:val="24"/>
        </w:rPr>
        <w:t>如果任何第三方提出侵权指控，卖方须与第三方交涉并承担由此发生的一切责任、费用和经济赔偿。</w:t>
      </w:r>
    </w:p>
    <w:p>
      <w:pPr>
        <w:pStyle w:val="3"/>
        <w:widowControl/>
        <w:snapToGrid w:val="0"/>
        <w:spacing w:before="0" w:after="0" w:line="360" w:lineRule="auto"/>
        <w:ind w:firstLine="482" w:firstLineChars="200"/>
        <w:jc w:val="both"/>
        <w:rPr>
          <w:rFonts w:hAnsi="宋体" w:cs="宋体"/>
          <w:color w:val="auto"/>
          <w:szCs w:val="24"/>
        </w:rPr>
      </w:pPr>
      <w:bookmarkStart w:id="10" w:name="_Toc366495195"/>
      <w:r>
        <w:rPr>
          <w:rFonts w:hAnsi="宋体" w:cs="宋体"/>
          <w:color w:val="auto"/>
          <w:szCs w:val="24"/>
          <w:u w:val="none"/>
        </w:rPr>
        <w:t>4. 包装要求</w:t>
      </w:r>
      <w:bookmarkEnd w:id="10"/>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4.1 除合同另有约定外，卖方提供的全部货物，均应采用本行业通用的方</w:t>
      </w:r>
      <w:bookmarkStart w:id="11" w:name="_Toc330473012"/>
      <w:bookmarkStart w:id="12" w:name="_Toc289327689"/>
      <w:r>
        <w:rPr>
          <w:rFonts w:hint="eastAsia" w:ascii="宋体" w:hAnsi="宋体" w:cs="宋体"/>
          <w:color w:val="auto"/>
          <w:sz w:val="24"/>
          <w:szCs w:val="24"/>
        </w:rPr>
        <w:t>式进行包装，且该包装应符</w:t>
      </w:r>
      <w:bookmarkEnd w:id="11"/>
      <w:bookmarkEnd w:id="12"/>
      <w:r>
        <w:rPr>
          <w:rFonts w:hint="eastAsia" w:ascii="宋体" w:hAnsi="宋体" w:cs="宋体"/>
          <w:color w:val="auto"/>
          <w:sz w:val="24"/>
          <w:szCs w:val="24"/>
        </w:rPr>
        <w:t>合国家有关包装的法律、法规的规定。包装应适应于远距离运输、防潮、防震、防锈和防粗暴装卸，确保货物安全无损，运抵现场。由于包装不善所引起的货物锈蚀、损坏和损失均由卖方承担。</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4.2 每件包装箱内应附一份详细装箱单和质量合格证。</w:t>
      </w:r>
    </w:p>
    <w:p>
      <w:pPr>
        <w:pStyle w:val="3"/>
        <w:widowControl/>
        <w:snapToGrid w:val="0"/>
        <w:spacing w:before="0" w:after="0" w:line="360" w:lineRule="auto"/>
        <w:ind w:firstLine="482" w:firstLineChars="200"/>
        <w:jc w:val="both"/>
        <w:rPr>
          <w:rFonts w:hAnsi="宋体" w:cs="宋体"/>
          <w:color w:val="auto"/>
          <w:szCs w:val="24"/>
        </w:rPr>
      </w:pPr>
      <w:bookmarkStart w:id="13" w:name="_Toc366495196"/>
      <w:r>
        <w:rPr>
          <w:rFonts w:hAnsi="宋体" w:cs="宋体"/>
          <w:color w:val="auto"/>
          <w:szCs w:val="24"/>
          <w:u w:val="none"/>
        </w:rPr>
        <w:t>5. 装运标志</w:t>
      </w:r>
      <w:bookmarkEnd w:id="13"/>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5.1 卖方应在每一包装箱的两侧用不褪色的油漆以醒目的中文字样做出下</w:t>
      </w:r>
      <w:bookmarkStart w:id="14" w:name="_Toc330473013"/>
      <w:bookmarkStart w:id="15" w:name="_Toc289327690"/>
      <w:r>
        <w:rPr>
          <w:rFonts w:hint="eastAsia" w:ascii="宋体" w:hAnsi="宋体" w:cs="宋体"/>
          <w:color w:val="auto"/>
          <w:sz w:val="24"/>
          <w:szCs w:val="24"/>
        </w:rPr>
        <w:t>列标记：</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收货人</w:t>
      </w:r>
      <w:bookmarkEnd w:id="14"/>
      <w:bookmarkEnd w:id="15"/>
      <w:r>
        <w:rPr>
          <w:rFonts w:hint="eastAsia" w:ascii="宋体" w:hAnsi="宋体" w:cs="宋体"/>
          <w:color w:val="auto"/>
          <w:sz w:val="24"/>
          <w:szCs w:val="24"/>
        </w:rPr>
        <w:t>：</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合同号：</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装运标志：</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收货人代号：</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目的地：</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货物名称、品目号和箱号：</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毛重／净重：</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尺寸（长×宽×高以厘米计）：      </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5.2 如果货物单件重量在2吨或2吨以上，卖方应在每件包装箱的两侧用中文和适当的运输标记，标明“重心”和“吊装点”，以便装卸和搬运。根据货物的特点和运输的不同要求，卖方应在包装箱上清楚地标有“小心轻放”、“防潮”“勿倒置”等字样和其他适当的标志。</w:t>
      </w:r>
    </w:p>
    <w:p>
      <w:pPr>
        <w:pStyle w:val="3"/>
        <w:widowControl/>
        <w:snapToGrid w:val="0"/>
        <w:spacing w:before="0" w:after="0" w:line="360" w:lineRule="auto"/>
        <w:ind w:firstLine="482" w:firstLineChars="200"/>
        <w:jc w:val="both"/>
        <w:rPr>
          <w:rFonts w:hAnsi="宋体" w:cs="宋体"/>
          <w:color w:val="auto"/>
          <w:szCs w:val="24"/>
        </w:rPr>
      </w:pPr>
      <w:bookmarkStart w:id="16" w:name="_Toc366495197"/>
      <w:r>
        <w:rPr>
          <w:rFonts w:hAnsi="宋体" w:cs="宋体"/>
          <w:color w:val="auto"/>
          <w:szCs w:val="24"/>
          <w:u w:val="none"/>
        </w:rPr>
        <w:t>6. 交货方式</w:t>
      </w:r>
      <w:bookmarkEnd w:id="16"/>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6.1 交货方式一般为下列其中一种，具体在合同特殊条款中规定。</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6.</w:t>
      </w:r>
      <w:bookmarkStart w:id="17" w:name="_Toc289327691"/>
      <w:bookmarkStart w:id="18" w:name="_Toc330473014"/>
      <w:r>
        <w:rPr>
          <w:rFonts w:hint="eastAsia" w:ascii="宋体" w:hAnsi="宋体" w:cs="宋体"/>
          <w:color w:val="auto"/>
          <w:sz w:val="24"/>
          <w:szCs w:val="24"/>
        </w:rPr>
        <w:t>1.1 现场交货：卖</w:t>
      </w:r>
      <w:bookmarkEnd w:id="17"/>
      <w:bookmarkEnd w:id="18"/>
      <w:r>
        <w:rPr>
          <w:rFonts w:hint="eastAsia" w:ascii="宋体" w:hAnsi="宋体" w:cs="宋体"/>
          <w:color w:val="auto"/>
          <w:sz w:val="24"/>
          <w:szCs w:val="24"/>
        </w:rPr>
        <w:t>方负责办理运输和保险，将货物运抵现场。有关运输和保险的一切费用由卖方承担。所有货物运抵现场的日期为交货日期。</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6.1.2 工厂交货：由卖方负责代办运输和保险事宜。运输费和保险费由买方承担。运输部门出具收据的日期为交货日期。</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6.1.3 买方自提货物：由买方在合同规定地点自行办理提货。提单日期为交货日期。</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6.2 卖方应在合同规定的交货期</w:t>
      </w:r>
      <w:r>
        <w:rPr>
          <w:rFonts w:hint="eastAsia" w:ascii="宋体" w:hAnsi="宋体" w:cs="宋体"/>
          <w:color w:val="auto"/>
          <w:sz w:val="24"/>
          <w:szCs w:val="24"/>
          <w:u w:val="single" w:color="FF0000"/>
        </w:rPr>
        <w:t>2</w:t>
      </w:r>
      <w:r>
        <w:rPr>
          <w:rFonts w:hint="eastAsia" w:ascii="宋体" w:hAnsi="宋体" w:cs="宋体"/>
          <w:color w:val="auto"/>
          <w:sz w:val="24"/>
          <w:szCs w:val="24"/>
        </w:rPr>
        <w:t>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pPr>
        <w:tabs>
          <w:tab w:val="left" w:pos="719"/>
        </w:tabs>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6.3 在现场交货和工厂交货条件下，卖方装运的货物不应超过合同规定的数量或重量。否则，卖方应对超运部分引起的一切后果负责。</w:t>
      </w:r>
    </w:p>
    <w:p>
      <w:pPr>
        <w:pStyle w:val="3"/>
        <w:widowControl/>
        <w:snapToGrid w:val="0"/>
        <w:spacing w:before="0" w:after="0" w:line="360" w:lineRule="auto"/>
        <w:ind w:firstLine="482" w:firstLineChars="200"/>
        <w:jc w:val="both"/>
        <w:rPr>
          <w:rFonts w:hAnsi="宋体" w:cs="宋体"/>
          <w:color w:val="auto"/>
          <w:szCs w:val="24"/>
        </w:rPr>
      </w:pPr>
      <w:bookmarkStart w:id="19" w:name="_Toc366495198"/>
      <w:r>
        <w:rPr>
          <w:rFonts w:hAnsi="宋体" w:cs="宋体"/>
          <w:color w:val="auto"/>
          <w:szCs w:val="24"/>
          <w:u w:val="none"/>
        </w:rPr>
        <w:t>7. 装运通知</w:t>
      </w:r>
      <w:bookmarkEnd w:id="19"/>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7.1 在现场交货和工厂交货条件下的货物，卖方通知买方货物已备妥待运</w:t>
      </w:r>
      <w:bookmarkStart w:id="20" w:name="_Toc330473015"/>
      <w:bookmarkStart w:id="21" w:name="_Toc289327692"/>
      <w:r>
        <w:rPr>
          <w:rFonts w:hint="eastAsia" w:ascii="宋体" w:hAnsi="宋体" w:cs="宋体"/>
          <w:color w:val="auto"/>
          <w:sz w:val="24"/>
          <w:szCs w:val="24"/>
        </w:rPr>
        <w:t>输后24小时之内，应将合</w:t>
      </w:r>
      <w:bookmarkEnd w:id="20"/>
      <w:bookmarkEnd w:id="21"/>
      <w:r>
        <w:rPr>
          <w:rFonts w:hint="eastAsia" w:ascii="宋体" w:hAnsi="宋体" w:cs="宋体"/>
          <w:color w:val="auto"/>
          <w:sz w:val="24"/>
          <w:szCs w:val="24"/>
        </w:rPr>
        <w:t>同号、货名、数量、毛重、总体积（立方米）、发票金额、运输工具名称及装运日期，以电报或传真通知买方。</w:t>
      </w:r>
    </w:p>
    <w:p>
      <w:pPr>
        <w:pStyle w:val="17"/>
        <w:widowControl w:val="0"/>
        <w:snapToGrid w:val="0"/>
        <w:spacing w:before="0" w:line="360" w:lineRule="auto"/>
        <w:ind w:left="0" w:firstLine="480" w:firstLineChars="200"/>
        <w:jc w:val="both"/>
        <w:rPr>
          <w:rFonts w:hAnsi="宋体" w:cs="宋体"/>
          <w:color w:val="auto"/>
          <w:szCs w:val="24"/>
        </w:rPr>
      </w:pPr>
      <w:r>
        <w:rPr>
          <w:rFonts w:hAnsi="宋体" w:cs="宋体"/>
          <w:color w:val="auto"/>
          <w:szCs w:val="24"/>
        </w:rPr>
        <w:t>7.2 如因卖方延误将上述内容用电报或传真通知买方，由此引起的一切后果损失应由卖方负责。</w:t>
      </w:r>
    </w:p>
    <w:p>
      <w:pPr>
        <w:pStyle w:val="3"/>
        <w:widowControl/>
        <w:snapToGrid w:val="0"/>
        <w:spacing w:before="0" w:after="0" w:line="360" w:lineRule="auto"/>
        <w:ind w:firstLine="482" w:firstLineChars="200"/>
        <w:jc w:val="both"/>
        <w:rPr>
          <w:rFonts w:hAnsi="宋体" w:cs="宋体"/>
          <w:color w:val="auto"/>
          <w:szCs w:val="24"/>
        </w:rPr>
      </w:pPr>
      <w:bookmarkStart w:id="22" w:name="_Toc366495199"/>
      <w:r>
        <w:rPr>
          <w:rFonts w:hAnsi="宋体" w:cs="宋体"/>
          <w:color w:val="auto"/>
          <w:szCs w:val="24"/>
          <w:u w:val="none"/>
        </w:rPr>
        <w:t>8. 保险</w:t>
      </w:r>
      <w:bookmarkEnd w:id="22"/>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8.1 本次货物为现场交货方式，由卖方负责办理“一切险”。</w:t>
      </w:r>
    </w:p>
    <w:p>
      <w:pPr>
        <w:pStyle w:val="3"/>
        <w:widowControl/>
        <w:snapToGrid w:val="0"/>
        <w:spacing w:before="0" w:after="0" w:line="360" w:lineRule="auto"/>
        <w:ind w:firstLine="482" w:firstLineChars="200"/>
        <w:jc w:val="both"/>
        <w:rPr>
          <w:rFonts w:hAnsi="宋体" w:cs="宋体"/>
          <w:color w:val="auto"/>
          <w:szCs w:val="24"/>
        </w:rPr>
      </w:pPr>
      <w:bookmarkStart w:id="23" w:name="_Toc366495200"/>
      <w:r>
        <w:rPr>
          <w:rFonts w:hAnsi="宋体" w:cs="宋体"/>
          <w:color w:val="auto"/>
          <w:szCs w:val="24"/>
          <w:u w:val="none"/>
        </w:rPr>
        <w:t>9. 付款条件</w:t>
      </w:r>
      <w:bookmarkEnd w:id="23"/>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9.1 付款条件见“合同特殊条款”。</w:t>
      </w:r>
    </w:p>
    <w:p>
      <w:pPr>
        <w:pStyle w:val="3"/>
        <w:widowControl/>
        <w:snapToGrid w:val="0"/>
        <w:spacing w:before="0" w:after="0" w:line="360" w:lineRule="auto"/>
        <w:ind w:firstLine="482" w:firstLineChars="200"/>
        <w:jc w:val="both"/>
        <w:rPr>
          <w:rFonts w:hAnsi="宋体" w:cs="宋体"/>
          <w:color w:val="auto"/>
          <w:szCs w:val="24"/>
        </w:rPr>
      </w:pPr>
      <w:bookmarkStart w:id="24" w:name="_Toc366495201"/>
      <w:r>
        <w:rPr>
          <w:rFonts w:hAnsi="宋体" w:cs="宋体"/>
          <w:color w:val="auto"/>
          <w:szCs w:val="24"/>
          <w:u w:val="none"/>
        </w:rPr>
        <w:t>10. 技术资料</w:t>
      </w:r>
      <w:bookmarkEnd w:id="24"/>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10</w:t>
      </w:r>
      <w:bookmarkStart w:id="25" w:name="_Toc330473017"/>
      <w:bookmarkStart w:id="26" w:name="_Toc289327694"/>
      <w:r>
        <w:rPr>
          <w:rFonts w:hint="eastAsia" w:ascii="宋体" w:hAnsi="宋体" w:cs="宋体"/>
          <w:color w:val="auto"/>
          <w:sz w:val="24"/>
          <w:szCs w:val="24"/>
        </w:rPr>
        <w:t>.1 合同项下技术</w:t>
      </w:r>
      <w:bookmarkEnd w:id="25"/>
      <w:bookmarkEnd w:id="26"/>
      <w:r>
        <w:rPr>
          <w:rFonts w:hint="eastAsia" w:ascii="宋体" w:hAnsi="宋体" w:cs="宋体"/>
          <w:color w:val="auto"/>
          <w:sz w:val="24"/>
          <w:szCs w:val="24"/>
        </w:rPr>
        <w:t>资料（除合同特殊条款规定外）将以下列方式交付：</w:t>
      </w:r>
    </w:p>
    <w:p>
      <w:pPr>
        <w:snapToGrid w:val="0"/>
        <w:spacing w:line="360" w:lineRule="auto"/>
        <w:ind w:firstLine="480" w:firstLineChars="200"/>
        <w:rPr>
          <w:rFonts w:hint="eastAsia" w:ascii="宋体" w:hAnsi="宋体" w:cs="宋体"/>
          <w:color w:val="auto"/>
          <w:sz w:val="24"/>
          <w:szCs w:val="24"/>
        </w:rPr>
      </w:pPr>
      <w:bookmarkStart w:id="27" w:name="_Toc289327695"/>
      <w:bookmarkStart w:id="28" w:name="_Toc330473018"/>
      <w:r>
        <w:rPr>
          <w:rFonts w:hint="eastAsia" w:ascii="宋体" w:hAnsi="宋体" w:cs="宋体"/>
          <w:color w:val="auto"/>
          <w:sz w:val="24"/>
          <w:szCs w:val="24"/>
        </w:rPr>
        <w:t>合同生效后2天之内，卖</w:t>
      </w:r>
      <w:bookmarkEnd w:id="27"/>
      <w:bookmarkEnd w:id="28"/>
      <w:r>
        <w:rPr>
          <w:rFonts w:hint="eastAsia" w:ascii="宋体" w:hAnsi="宋体" w:cs="宋体"/>
          <w:color w:val="auto"/>
          <w:sz w:val="24"/>
          <w:szCs w:val="24"/>
        </w:rPr>
        <w:t>方应将货物包括但不限于每台设备和仪器的中文技术资料一套，如目录索引、图纸、操作手册、使用指南、维修指南和／或服务手册和示意图寄给买方。</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10.2 另外一套完整的上述资料应包装好随同每批货物一起发运。</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10.3 如果买方确认卖方提供的技术资料不完整或在运输过程中丢失，卖方将在收到买方通知后天内将这些资料免费寄给买方。</w:t>
      </w:r>
    </w:p>
    <w:p>
      <w:pPr>
        <w:pStyle w:val="3"/>
        <w:widowControl/>
        <w:snapToGrid w:val="0"/>
        <w:spacing w:before="0" w:after="0" w:line="360" w:lineRule="auto"/>
        <w:ind w:firstLine="482" w:firstLineChars="200"/>
        <w:jc w:val="both"/>
        <w:rPr>
          <w:rFonts w:hAnsi="宋体" w:cs="宋体"/>
          <w:color w:val="auto"/>
          <w:szCs w:val="24"/>
        </w:rPr>
      </w:pPr>
      <w:bookmarkStart w:id="29" w:name="_Toc366495202"/>
      <w:r>
        <w:rPr>
          <w:rFonts w:hAnsi="宋体" w:cs="宋体"/>
          <w:color w:val="auto"/>
          <w:szCs w:val="24"/>
          <w:u w:val="none"/>
        </w:rPr>
        <w:t>11. 质量保证</w:t>
      </w:r>
      <w:bookmarkEnd w:id="29"/>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11.1 卖方须保证货物是全新、未使用过的，并完全符合强制性的国家技术</w:t>
      </w:r>
      <w:bookmarkStart w:id="30" w:name="_Toc289327696"/>
      <w:bookmarkStart w:id="31" w:name="_Toc330473019"/>
      <w:r>
        <w:rPr>
          <w:rFonts w:hint="eastAsia" w:ascii="宋体" w:hAnsi="宋体" w:cs="宋体"/>
          <w:color w:val="auto"/>
          <w:sz w:val="24"/>
          <w:szCs w:val="24"/>
        </w:rPr>
        <w:t>质量规范和合同规定的质量</w:t>
      </w:r>
      <w:bookmarkEnd w:id="30"/>
      <w:bookmarkEnd w:id="31"/>
      <w:r>
        <w:rPr>
          <w:rFonts w:hint="eastAsia" w:ascii="宋体" w:hAnsi="宋体" w:cs="宋体"/>
          <w:color w:val="auto"/>
          <w:sz w:val="24"/>
          <w:szCs w:val="24"/>
        </w:rPr>
        <w:t>、规格、性能和技术规范等的要求。</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11.2 卖方须保证所提供的货物经正确安装、正常运转和保养，在其使用寿命期内须具有符合质量要求和产品说明书的性能。在货物质量保证期之内，卖方须对由于设计、工艺或材料的缺陷而发生的任何不足或故障负责。</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11.3 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2天内应免费维修或更换有缺陷的货物或部件。</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11.4 如果卖方在收到通知后天内没有弥补缺陷，买方可采取必要的补救措施，但由此引发的风险和费用将由卖方承担。</w:t>
      </w:r>
    </w:p>
    <w:p>
      <w:pPr>
        <w:snapToGrid w:val="0"/>
        <w:spacing w:line="360" w:lineRule="auto"/>
        <w:ind w:firstLine="482" w:firstLineChars="200"/>
        <w:rPr>
          <w:rFonts w:hint="eastAsia" w:ascii="宋体" w:hAnsi="宋体" w:cs="宋体"/>
          <w:b/>
          <w:color w:val="auto"/>
          <w:sz w:val="24"/>
          <w:szCs w:val="24"/>
        </w:rPr>
      </w:pPr>
      <w:r>
        <w:rPr>
          <w:rFonts w:hint="eastAsia" w:ascii="宋体" w:hAnsi="宋体" w:cs="宋体"/>
          <w:b/>
          <w:color w:val="auto"/>
          <w:sz w:val="24"/>
          <w:szCs w:val="24"/>
        </w:rPr>
        <w:t>11.5 除合同书、合同特殊条款或报价文件 “货物内容及要求”部分货物质保特殊要求以外，合同项下货物的质量保证期为自货物通过最终验收起</w:t>
      </w:r>
      <w:r>
        <w:rPr>
          <w:rFonts w:hint="eastAsia" w:ascii="宋体" w:hAnsi="宋体" w:cs="宋体"/>
          <w:b/>
          <w:color w:val="auto"/>
          <w:sz w:val="24"/>
          <w:szCs w:val="24"/>
          <w:lang w:val="en-US" w:eastAsia="zh-CN"/>
        </w:rPr>
        <w:t>2</w:t>
      </w:r>
      <w:r>
        <w:rPr>
          <w:rFonts w:hint="eastAsia" w:ascii="宋体" w:hAnsi="宋体" w:cs="宋体"/>
          <w:b/>
          <w:color w:val="auto"/>
          <w:sz w:val="24"/>
          <w:szCs w:val="24"/>
        </w:rPr>
        <w:t>年。</w:t>
      </w:r>
    </w:p>
    <w:p>
      <w:pPr>
        <w:pStyle w:val="3"/>
        <w:widowControl/>
        <w:snapToGrid w:val="0"/>
        <w:spacing w:before="0" w:after="0" w:line="360" w:lineRule="auto"/>
        <w:ind w:firstLine="482" w:firstLineChars="200"/>
        <w:jc w:val="both"/>
        <w:rPr>
          <w:rFonts w:hAnsi="宋体" w:cs="宋体"/>
          <w:color w:val="auto"/>
          <w:szCs w:val="24"/>
        </w:rPr>
      </w:pPr>
      <w:bookmarkStart w:id="32" w:name="_Toc366495203"/>
      <w:r>
        <w:rPr>
          <w:rFonts w:hAnsi="宋体" w:cs="宋体"/>
          <w:color w:val="auto"/>
          <w:szCs w:val="24"/>
          <w:u w:val="none"/>
        </w:rPr>
        <w:t>12. 检验和验收</w:t>
      </w:r>
      <w:bookmarkEnd w:id="32"/>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12.1 在交货前，中标人/成交人应对货物的质量、规格、性能、数量和重量等进</w:t>
      </w:r>
      <w:bookmarkStart w:id="33" w:name="_Toc289327697"/>
      <w:bookmarkStart w:id="34" w:name="_Toc330473020"/>
      <w:r>
        <w:rPr>
          <w:rFonts w:hint="eastAsia" w:ascii="宋体" w:hAnsi="宋体" w:cs="宋体"/>
          <w:color w:val="auto"/>
          <w:sz w:val="24"/>
          <w:szCs w:val="24"/>
        </w:rPr>
        <w:t>行详细而全面的检验，并出具</w:t>
      </w:r>
      <w:bookmarkEnd w:id="33"/>
      <w:bookmarkEnd w:id="34"/>
      <w:r>
        <w:rPr>
          <w:rFonts w:hint="eastAsia" w:ascii="宋体" w:hAnsi="宋体" w:cs="宋体"/>
          <w:color w:val="auto"/>
          <w:sz w:val="24"/>
          <w:szCs w:val="24"/>
        </w:rPr>
        <w:t>证明货物符合合同规定的文件。该文件将作为申请付款单据的一部分，但有关质量、规格、性能、数量或重量的检验不应视为最终检验。</w:t>
      </w:r>
    </w:p>
    <w:p>
      <w:pPr>
        <w:snapToGrid w:val="0"/>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12.2货物制作过程中，卖方需配合买方赴货物制作现场进行中期验收，中期验收通过后方可继续制作。</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12.2 货物运抵现场后，买方应在</w:t>
      </w:r>
      <w:r>
        <w:rPr>
          <w:rFonts w:hint="eastAsia" w:ascii="宋体" w:hAnsi="宋体" w:cs="宋体"/>
          <w:color w:val="auto"/>
          <w:sz w:val="24"/>
          <w:szCs w:val="24"/>
          <w:u w:val="single"/>
        </w:rPr>
        <w:t>7</w:t>
      </w:r>
      <w:r>
        <w:rPr>
          <w:rFonts w:hint="eastAsia" w:ascii="宋体" w:hAnsi="宋体" w:cs="宋体"/>
          <w:color w:val="auto"/>
          <w:sz w:val="24"/>
          <w:szCs w:val="24"/>
        </w:rPr>
        <w:t>日内组织验收，并制作验收单存档。</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12.3 买方有在货物制造过程中派员监造的权利，卖方有义务为买方监造人员行使该权利提供方便。</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12.4 制造厂对所供货物进行机械运转试验和性能试验时，中标人/成交人必须提前通知买方。</w:t>
      </w:r>
    </w:p>
    <w:p>
      <w:pPr>
        <w:pStyle w:val="3"/>
        <w:widowControl/>
        <w:snapToGrid w:val="0"/>
        <w:spacing w:before="0" w:after="0" w:line="360" w:lineRule="auto"/>
        <w:ind w:firstLine="482" w:firstLineChars="200"/>
        <w:jc w:val="both"/>
        <w:rPr>
          <w:rFonts w:hAnsi="宋体" w:cs="宋体"/>
          <w:color w:val="auto"/>
          <w:szCs w:val="24"/>
        </w:rPr>
      </w:pPr>
      <w:bookmarkStart w:id="35" w:name="_Toc366495204"/>
      <w:r>
        <w:rPr>
          <w:rFonts w:hAnsi="宋体" w:cs="宋体"/>
          <w:color w:val="auto"/>
          <w:szCs w:val="24"/>
          <w:u w:val="none"/>
        </w:rPr>
        <w:t>13. 索赔</w:t>
      </w:r>
      <w:bookmarkEnd w:id="35"/>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13.1 如果货物的质量、规格、数量、重量等与合同不符，或在第11.5规定</w:t>
      </w:r>
      <w:bookmarkStart w:id="36" w:name="_Toc330473021"/>
      <w:bookmarkStart w:id="37" w:name="_Toc289327698"/>
      <w:r>
        <w:rPr>
          <w:rFonts w:hint="eastAsia" w:ascii="宋体" w:hAnsi="宋体" w:cs="宋体"/>
          <w:color w:val="auto"/>
          <w:sz w:val="24"/>
          <w:szCs w:val="24"/>
        </w:rPr>
        <w:t>的质量保证期内证实货</w:t>
      </w:r>
      <w:bookmarkEnd w:id="36"/>
      <w:bookmarkEnd w:id="37"/>
      <w:r>
        <w:rPr>
          <w:rFonts w:hint="eastAsia" w:ascii="宋体" w:hAnsi="宋体" w:cs="宋体"/>
          <w:color w:val="auto"/>
          <w:sz w:val="24"/>
          <w:szCs w:val="24"/>
        </w:rPr>
        <w:t>物存有缺陷，包括潜在的缺陷或使用不符合要求的材料等，买方有权根据有资质的权威质检机构的检验结果向卖方提出索赔（但责任应由保险公司或运输部门承担的除外）。</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13.2 在根据合同第11条和第12条规定的检验期和质量保证期内，如果卖方对买方提出的索赔负有责任，卖方应按照买方同意的下列一种或多种方式解决索赔事宜：</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13.2.1 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13.2.2 根据货物低劣程度、损坏程度以及买方所遭受损失的数额，经买卖双方商定降低货物的价格，或由有权的部门评估，以降低后的价格或评估价格为准。</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13.2.3 用符合规格、质量和性能要求的新零件、部件或货物来更换有缺陷的部分或／和修补缺陷部分，卖方应承担一切费用和风险并负担买方所发生的一切直接费用。同时，卖方应按合同第11条规定，相应延长修补或更换件的质量保证期。</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13.3 如果在买方发出索赔通知后2天内，卖方未作答复，上述索赔应视为已被卖方接受。如卖方未能在买方提出索赔通知后2天内或买方同意的更长时间内，按照本合同第13.2条规定的任何一种方法解决索赔事宜，买方将从合同款中扣回索赔金额。如果这些金额不足以补偿索赔金额，买方有权向卖方提出不足部分的补偿。</w:t>
      </w:r>
    </w:p>
    <w:p>
      <w:pPr>
        <w:pStyle w:val="3"/>
        <w:widowControl/>
        <w:snapToGrid w:val="0"/>
        <w:spacing w:before="0" w:after="0" w:line="360" w:lineRule="auto"/>
        <w:ind w:firstLine="482" w:firstLineChars="200"/>
        <w:jc w:val="both"/>
        <w:rPr>
          <w:rFonts w:hAnsi="宋体" w:cs="宋体"/>
          <w:color w:val="auto"/>
          <w:szCs w:val="24"/>
        </w:rPr>
      </w:pPr>
      <w:bookmarkStart w:id="38" w:name="_Toc366495205"/>
      <w:r>
        <w:rPr>
          <w:rFonts w:hAnsi="宋体" w:cs="宋体"/>
          <w:color w:val="auto"/>
          <w:szCs w:val="24"/>
          <w:u w:val="none"/>
        </w:rPr>
        <w:t>14. 迟延交货</w:t>
      </w:r>
      <w:bookmarkEnd w:id="38"/>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14.1 卖方应按照</w:t>
      </w:r>
      <w:r>
        <w:rPr>
          <w:rFonts w:hint="eastAsia" w:ascii="宋体" w:hAnsi="宋体" w:cs="宋体"/>
          <w:color w:val="auto"/>
          <w:sz w:val="24"/>
          <w:szCs w:val="24"/>
          <w:u w:val="single"/>
        </w:rPr>
        <w:t>“</w:t>
      </w:r>
      <w:r>
        <w:rPr>
          <w:rFonts w:hint="eastAsia" w:ascii="宋体" w:hAnsi="宋体" w:cs="宋体"/>
          <w:color w:val="auto"/>
          <w:sz w:val="24"/>
          <w:szCs w:val="24"/>
          <w:u w:val="single"/>
          <w:lang w:val="en-US" w:eastAsia="zh-CN"/>
        </w:rPr>
        <w:t>附件：</w:t>
      </w:r>
      <w:r>
        <w:rPr>
          <w:rFonts w:hint="eastAsia" w:ascii="宋体" w:hAnsi="宋体" w:cs="宋体"/>
          <w:color w:val="auto"/>
          <w:sz w:val="24"/>
          <w:szCs w:val="24"/>
          <w:u w:val="single"/>
        </w:rPr>
        <w:t>《古代木帆船模型及参数要求》”</w:t>
      </w:r>
      <w:r>
        <w:rPr>
          <w:rFonts w:hint="eastAsia" w:ascii="宋体" w:hAnsi="宋体" w:cs="宋体"/>
          <w:color w:val="auto"/>
          <w:sz w:val="24"/>
          <w:szCs w:val="24"/>
        </w:rPr>
        <w:t>中买方规定的时间表交货</w:t>
      </w:r>
      <w:bookmarkStart w:id="39" w:name="_Toc330473022"/>
      <w:bookmarkStart w:id="40" w:name="_Toc289327699"/>
      <w:r>
        <w:rPr>
          <w:rFonts w:hint="eastAsia" w:ascii="宋体" w:hAnsi="宋体" w:cs="宋体"/>
          <w:color w:val="auto"/>
          <w:sz w:val="24"/>
          <w:szCs w:val="24"/>
        </w:rPr>
        <w:t>和提供服务。</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14.2 </w:t>
      </w:r>
      <w:bookmarkEnd w:id="39"/>
      <w:bookmarkEnd w:id="40"/>
      <w:r>
        <w:rPr>
          <w:rFonts w:hint="eastAsia" w:ascii="宋体" w:hAnsi="宋体" w:cs="宋体"/>
          <w:color w:val="auto"/>
          <w:sz w:val="24"/>
          <w:szCs w:val="24"/>
        </w:rPr>
        <w:t>如果卖方无正当理由迟延交货，买方有权提出违约损失赔偿或解除合同。</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14.3 在履行合同过程中，如果卖方遇到不能按时交货和提供服务的情况，应及时以书面形式将不能按时交货的理由、预期延误时间通知买方。买方收到卖方通知后，认为其理由正当的，可酌情延长交货时间。</w:t>
      </w:r>
    </w:p>
    <w:p>
      <w:pPr>
        <w:pStyle w:val="3"/>
        <w:widowControl/>
        <w:snapToGrid w:val="0"/>
        <w:spacing w:before="0" w:after="0" w:line="360" w:lineRule="auto"/>
        <w:ind w:firstLine="482" w:firstLineChars="200"/>
        <w:jc w:val="both"/>
        <w:rPr>
          <w:rFonts w:hAnsi="宋体" w:cs="宋体"/>
          <w:color w:val="auto"/>
          <w:szCs w:val="24"/>
        </w:rPr>
      </w:pPr>
      <w:bookmarkStart w:id="41" w:name="_Toc366495206"/>
      <w:r>
        <w:rPr>
          <w:rFonts w:hAnsi="宋体" w:cs="宋体"/>
          <w:color w:val="auto"/>
          <w:szCs w:val="24"/>
          <w:u w:val="none"/>
        </w:rPr>
        <w:t>15. 违约赔偿</w:t>
      </w:r>
      <w:bookmarkEnd w:id="41"/>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15.1 除合同第16条规定外，如果卖方没有按照合同规定的时间交货和提</w:t>
      </w:r>
      <w:bookmarkStart w:id="42" w:name="_Toc289327700"/>
      <w:bookmarkStart w:id="43" w:name="_Toc330473023"/>
      <w:r>
        <w:rPr>
          <w:rFonts w:hint="eastAsia" w:ascii="宋体" w:hAnsi="宋体" w:cs="宋体"/>
          <w:color w:val="auto"/>
          <w:sz w:val="24"/>
          <w:szCs w:val="24"/>
        </w:rPr>
        <w:t>供服务，买方可要求卖方支</w:t>
      </w:r>
      <w:bookmarkEnd w:id="42"/>
      <w:bookmarkEnd w:id="43"/>
      <w:r>
        <w:rPr>
          <w:rFonts w:hint="eastAsia" w:ascii="宋体" w:hAnsi="宋体" w:cs="宋体"/>
          <w:color w:val="auto"/>
          <w:sz w:val="24"/>
          <w:szCs w:val="24"/>
        </w:rPr>
        <w:t>付违约金。违约金按每周迟交货物或未提供服务交货价的0.5%计收。但违约金的最高限额为迟交货物或没有提供服务的合同价的5%。一周按７天计算，不足７天按一周计算。如果达到最高限额，买方有权解除合同。</w:t>
      </w:r>
    </w:p>
    <w:p>
      <w:pPr>
        <w:pStyle w:val="3"/>
        <w:widowControl/>
        <w:snapToGrid w:val="0"/>
        <w:spacing w:before="0" w:after="0" w:line="360" w:lineRule="auto"/>
        <w:ind w:firstLine="482" w:firstLineChars="200"/>
        <w:jc w:val="both"/>
        <w:rPr>
          <w:rFonts w:hAnsi="宋体" w:cs="宋体"/>
          <w:color w:val="auto"/>
          <w:szCs w:val="24"/>
        </w:rPr>
      </w:pPr>
      <w:bookmarkStart w:id="44" w:name="_Toc366495207"/>
      <w:r>
        <w:rPr>
          <w:rFonts w:hAnsi="宋体" w:cs="宋体"/>
          <w:color w:val="auto"/>
          <w:szCs w:val="24"/>
          <w:u w:val="none"/>
        </w:rPr>
        <w:t>16. 不可抗力</w:t>
      </w:r>
      <w:bookmarkEnd w:id="44"/>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16.1 如果双方中任何一方遭遇法律规定的不可抗力，致使合同履行受阻时</w:t>
      </w:r>
      <w:bookmarkStart w:id="45" w:name="_Toc330473024"/>
      <w:bookmarkStart w:id="46" w:name="_Toc289327701"/>
      <w:r>
        <w:rPr>
          <w:rFonts w:hint="eastAsia" w:ascii="宋体" w:hAnsi="宋体" w:cs="宋体"/>
          <w:color w:val="auto"/>
          <w:sz w:val="24"/>
          <w:szCs w:val="24"/>
        </w:rPr>
        <w:t>，履行合同的期限应予延长</w:t>
      </w:r>
      <w:bookmarkEnd w:id="45"/>
      <w:bookmarkEnd w:id="46"/>
      <w:r>
        <w:rPr>
          <w:rFonts w:hint="eastAsia" w:ascii="宋体" w:hAnsi="宋体" w:cs="宋体"/>
          <w:color w:val="auto"/>
          <w:sz w:val="24"/>
          <w:szCs w:val="24"/>
        </w:rPr>
        <w:t>，延长的期限应相当于不可抗力所影响的时间。</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16.2 受事故影响的一方应在不可抗力的事故发生后尽快书面形式通知另一方，并在事故发生后15天内，将有关部门出具的证明文件送达另一方。</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16.3 不可抗力使合同的某些内容有变更必要的，双方应通过协商在7日内达成进一步履行合同的协议，因不可抗力致使合同不能履行的，合同终止。</w:t>
      </w:r>
    </w:p>
    <w:p>
      <w:pPr>
        <w:pStyle w:val="3"/>
        <w:widowControl/>
        <w:snapToGrid w:val="0"/>
        <w:spacing w:before="0" w:after="0" w:line="360" w:lineRule="auto"/>
        <w:ind w:firstLine="482" w:firstLineChars="200"/>
        <w:jc w:val="both"/>
        <w:rPr>
          <w:rFonts w:hAnsi="宋体" w:cs="宋体"/>
          <w:color w:val="auto"/>
          <w:szCs w:val="24"/>
        </w:rPr>
      </w:pPr>
      <w:bookmarkStart w:id="47" w:name="_Toc366495208"/>
      <w:r>
        <w:rPr>
          <w:rFonts w:hAnsi="宋体" w:cs="宋体"/>
          <w:color w:val="auto"/>
          <w:szCs w:val="24"/>
          <w:u w:val="none"/>
        </w:rPr>
        <w:t>17. 税费</w:t>
      </w:r>
      <w:bookmarkEnd w:id="47"/>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17.1 与本合同有关的一切税费均适用中华人民共和国法律的相关规定。</w:t>
      </w:r>
    </w:p>
    <w:p>
      <w:pPr>
        <w:pStyle w:val="3"/>
        <w:widowControl/>
        <w:snapToGrid w:val="0"/>
        <w:spacing w:before="0" w:after="0" w:line="360" w:lineRule="auto"/>
        <w:ind w:firstLine="482" w:firstLineChars="200"/>
        <w:jc w:val="both"/>
        <w:rPr>
          <w:rFonts w:hAnsi="宋体" w:cs="宋体"/>
          <w:color w:val="auto"/>
          <w:szCs w:val="24"/>
        </w:rPr>
      </w:pPr>
      <w:bookmarkStart w:id="48" w:name="_Toc366495209"/>
      <w:r>
        <w:rPr>
          <w:rFonts w:hAnsi="宋体" w:cs="宋体"/>
          <w:color w:val="auto"/>
          <w:szCs w:val="24"/>
          <w:u w:val="none"/>
        </w:rPr>
        <w:t>18</w:t>
      </w:r>
      <w:bookmarkStart w:id="49" w:name="_Toc330473025"/>
      <w:bookmarkStart w:id="50" w:name="_Toc289327702"/>
      <w:r>
        <w:rPr>
          <w:rFonts w:hAnsi="宋体" w:cs="宋体"/>
          <w:color w:val="auto"/>
          <w:szCs w:val="24"/>
          <w:u w:val="none"/>
        </w:rPr>
        <w:t>. 合同争议</w:t>
      </w:r>
      <w:bookmarkEnd w:id="49"/>
      <w:bookmarkEnd w:id="50"/>
      <w:r>
        <w:rPr>
          <w:rFonts w:hAnsi="宋体" w:cs="宋体"/>
          <w:color w:val="auto"/>
          <w:szCs w:val="24"/>
          <w:u w:val="none"/>
        </w:rPr>
        <w:t>的解决</w:t>
      </w:r>
      <w:bookmarkEnd w:id="48"/>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18.1 因合同履行中发生的争议，可通过合同当事人双方友好协商解</w:t>
      </w:r>
      <w:bookmarkStart w:id="51" w:name="_Toc330473026"/>
      <w:bookmarkStart w:id="52" w:name="_Toc289327703"/>
      <w:r>
        <w:rPr>
          <w:rFonts w:hint="eastAsia" w:ascii="宋体" w:hAnsi="宋体" w:cs="宋体"/>
          <w:color w:val="auto"/>
          <w:sz w:val="24"/>
          <w:szCs w:val="24"/>
        </w:rPr>
        <w:t>决。如自协商开始之起15日内得</w:t>
      </w:r>
      <w:bookmarkEnd w:id="51"/>
      <w:bookmarkEnd w:id="52"/>
      <w:r>
        <w:rPr>
          <w:rFonts w:hint="eastAsia" w:ascii="宋体" w:hAnsi="宋体" w:cs="宋体"/>
          <w:color w:val="auto"/>
          <w:sz w:val="24"/>
          <w:szCs w:val="24"/>
        </w:rPr>
        <w:t>不到解决且调解不成的，可采取以下第</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2</w:t>
      </w:r>
      <w:r>
        <w:rPr>
          <w:rFonts w:ascii="宋体" w:hAnsi="宋体" w:cs="宋体"/>
          <w:color w:val="auto"/>
          <w:sz w:val="24"/>
          <w:szCs w:val="24"/>
          <w:u w:val="single"/>
        </w:rPr>
        <w:t xml:space="preserve">  </w:t>
      </w:r>
      <w:r>
        <w:rPr>
          <w:rFonts w:hint="eastAsia" w:ascii="宋体" w:hAnsi="宋体" w:cs="宋体"/>
          <w:color w:val="auto"/>
          <w:sz w:val="24"/>
          <w:szCs w:val="24"/>
        </w:rPr>
        <w:t xml:space="preserve">种方式： </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1、申请北京仲裁委员会进行仲裁</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2、向买方所在地有管辖权的人民法院提起诉讼。</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18.2 仲裁裁决为最终裁决，当事人一方在规定时间内不履行仲裁机构裁决的，另一方可以申请人民法院强制执行。</w:t>
      </w:r>
    </w:p>
    <w:p>
      <w:pPr>
        <w:tabs>
          <w:tab w:val="left" w:pos="901"/>
        </w:tabs>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18.3 仲裁费用和诉讼费用除仲裁机构或法院另有裁决外，应由败诉方负担。</w:t>
      </w:r>
    </w:p>
    <w:p>
      <w:pPr>
        <w:pStyle w:val="3"/>
        <w:widowControl/>
        <w:snapToGrid w:val="0"/>
        <w:spacing w:before="0" w:after="0" w:line="360" w:lineRule="auto"/>
        <w:ind w:firstLine="482" w:firstLineChars="200"/>
        <w:jc w:val="both"/>
        <w:rPr>
          <w:rFonts w:hAnsi="宋体" w:cs="宋体"/>
          <w:color w:val="auto"/>
          <w:szCs w:val="24"/>
        </w:rPr>
      </w:pPr>
      <w:bookmarkStart w:id="53" w:name="_Toc366495210"/>
      <w:r>
        <w:rPr>
          <w:rFonts w:hAnsi="宋体" w:cs="宋体"/>
          <w:color w:val="auto"/>
          <w:szCs w:val="24"/>
          <w:u w:val="none"/>
        </w:rPr>
        <w:t>19. 违约解除合同</w:t>
      </w:r>
      <w:bookmarkEnd w:id="53"/>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19.1 在卖方违约的情况下，买方</w:t>
      </w:r>
      <w:bookmarkStart w:id="54" w:name="_Toc330473027"/>
      <w:bookmarkStart w:id="55" w:name="_Toc289327704"/>
      <w:r>
        <w:rPr>
          <w:rFonts w:hint="eastAsia" w:ascii="宋体" w:hAnsi="宋体" w:cs="宋体"/>
          <w:color w:val="auto"/>
          <w:sz w:val="24"/>
          <w:szCs w:val="24"/>
        </w:rPr>
        <w:t>可向卖方发出书面通知，部分</w:t>
      </w:r>
      <w:bookmarkEnd w:id="54"/>
      <w:bookmarkEnd w:id="55"/>
      <w:r>
        <w:rPr>
          <w:rFonts w:hint="eastAsia" w:ascii="宋体" w:hAnsi="宋体" w:cs="宋体"/>
          <w:color w:val="auto"/>
          <w:sz w:val="24"/>
          <w:szCs w:val="24"/>
        </w:rPr>
        <w:t>或全部解除合同。同时保留向卖方追诉的权利。</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19.1.1 卖方未能在合同规定的限期或买方同意延长的限期内，提供全部或部分货物的；</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19.1.2 卖方未能履行合同规定的其它主要义务的；</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19.1.3 买方认为卖方在本合同履行过程中有腐败和欺诈行为的。</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19.1.3.1 “腐败行为”和“欺诈行为”定义如下：</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19.1.3.1.1 “腐败行为”是指提供/给予/接受或索取任何有价值的东西来影响买方在合同签定、履行过程中的行为。</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19.1.3.1.2 “欺诈行为”是指为了影响合同签定、履行过程，以谎报事实的方法，损害买方的利益的行为。</w:t>
      </w:r>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19.2 在买方根据上述第19.1条规定，全部或部分解除合同之后，应当遵循诚实信用原则，购买与未交付的货物类似的货物或服务，卖方应承担买方购买类似货物或服务而产生的额外支出。部分解除合同的，卖方应继续履行合同中未解除的部分。</w:t>
      </w:r>
    </w:p>
    <w:p>
      <w:pPr>
        <w:pStyle w:val="3"/>
        <w:widowControl/>
        <w:snapToGrid w:val="0"/>
        <w:spacing w:before="0" w:after="0" w:line="360" w:lineRule="auto"/>
        <w:ind w:firstLine="482" w:firstLineChars="200"/>
        <w:jc w:val="both"/>
        <w:rPr>
          <w:rFonts w:hAnsi="宋体" w:cs="宋体"/>
          <w:color w:val="auto"/>
          <w:szCs w:val="24"/>
          <w:u w:val="none"/>
        </w:rPr>
      </w:pPr>
      <w:bookmarkStart w:id="56" w:name="_Toc366495212"/>
      <w:r>
        <w:rPr>
          <w:rFonts w:hAnsi="宋体" w:cs="宋体"/>
          <w:color w:val="auto"/>
          <w:szCs w:val="24"/>
          <w:u w:val="none"/>
        </w:rPr>
        <w:t>20. 转让和分包</w:t>
      </w:r>
      <w:bookmarkEnd w:id="56"/>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20.1如乙方未经甲方同意擅自转包，或转包行为违反本合同的其他规定，甲方有权解除合同，并追究乙方的违约责任，乙方须赔付甲方本合同金额5%为违约金。</w:t>
      </w:r>
    </w:p>
    <w:p>
      <w:pPr>
        <w:pStyle w:val="3"/>
        <w:widowControl/>
        <w:snapToGrid w:val="0"/>
        <w:spacing w:before="0" w:after="0" w:line="360" w:lineRule="auto"/>
        <w:ind w:firstLine="482" w:firstLineChars="200"/>
        <w:jc w:val="both"/>
        <w:rPr>
          <w:rFonts w:hAnsi="宋体" w:cs="宋体"/>
          <w:color w:val="auto"/>
          <w:szCs w:val="24"/>
        </w:rPr>
      </w:pPr>
      <w:bookmarkStart w:id="57" w:name="_Toc366495213"/>
      <w:r>
        <w:rPr>
          <w:rFonts w:hAnsi="宋体" w:cs="宋体"/>
          <w:color w:val="auto"/>
          <w:szCs w:val="24"/>
          <w:u w:val="none"/>
        </w:rPr>
        <w:t xml:space="preserve">21. </w:t>
      </w:r>
      <w:r>
        <w:rPr>
          <w:rFonts w:hAnsi="宋体" w:cs="宋体"/>
          <w:color w:val="auto"/>
          <w:szCs w:val="24"/>
          <w:u w:val="none" w:color="FF0000"/>
        </w:rPr>
        <w:t>合同修改</w:t>
      </w:r>
      <w:bookmarkEnd w:id="57"/>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22.1 买方和卖方都不得擅自变更本合同，但合同继续履行将损害国家和社</w:t>
      </w:r>
      <w:bookmarkStart w:id="58" w:name="_Toc289327707"/>
      <w:bookmarkStart w:id="59" w:name="_Toc330473030"/>
      <w:r>
        <w:rPr>
          <w:rFonts w:hint="eastAsia" w:ascii="宋体" w:hAnsi="宋体" w:cs="宋体"/>
          <w:color w:val="auto"/>
          <w:sz w:val="24"/>
          <w:szCs w:val="24"/>
        </w:rPr>
        <w:t>会公共利益的除外。如必须</w:t>
      </w:r>
      <w:bookmarkEnd w:id="58"/>
      <w:bookmarkEnd w:id="59"/>
      <w:r>
        <w:rPr>
          <w:rFonts w:hint="eastAsia" w:ascii="宋体" w:hAnsi="宋体" w:cs="宋体"/>
          <w:color w:val="auto"/>
          <w:sz w:val="24"/>
          <w:szCs w:val="24"/>
        </w:rPr>
        <w:t>对合同条款进行修改或补充的，须签订书面补充协议经双方法定代表人签字并加盖单位公章后，方可作为主合同不可分割的一部分。。</w:t>
      </w:r>
    </w:p>
    <w:p>
      <w:pPr>
        <w:pStyle w:val="3"/>
        <w:widowControl/>
        <w:snapToGrid w:val="0"/>
        <w:spacing w:before="0" w:after="0" w:line="360" w:lineRule="auto"/>
        <w:ind w:firstLine="482" w:firstLineChars="200"/>
        <w:jc w:val="both"/>
        <w:rPr>
          <w:rFonts w:hAnsi="宋体" w:cs="宋体"/>
          <w:color w:val="auto"/>
          <w:szCs w:val="24"/>
        </w:rPr>
      </w:pPr>
      <w:bookmarkStart w:id="60" w:name="_Toc366495214"/>
      <w:r>
        <w:rPr>
          <w:rFonts w:hAnsi="宋体" w:cs="宋体"/>
          <w:color w:val="auto"/>
          <w:szCs w:val="24"/>
          <w:u w:val="none"/>
        </w:rPr>
        <w:t>22. 通知</w:t>
      </w:r>
      <w:bookmarkEnd w:id="60"/>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22.1 本合同任何一方给另一方的通知，都应以书面形式发送，而另一方也应以</w:t>
      </w:r>
      <w:bookmarkStart w:id="61" w:name="_Toc289327708"/>
      <w:bookmarkStart w:id="62" w:name="_Toc330473031"/>
      <w:r>
        <w:rPr>
          <w:rFonts w:hint="eastAsia" w:ascii="宋体" w:hAnsi="宋体" w:cs="宋体"/>
          <w:color w:val="auto"/>
          <w:sz w:val="24"/>
          <w:szCs w:val="24"/>
        </w:rPr>
        <w:t>书面形式确认并发送到</w:t>
      </w:r>
      <w:bookmarkEnd w:id="61"/>
      <w:bookmarkEnd w:id="62"/>
      <w:r>
        <w:rPr>
          <w:rFonts w:hint="eastAsia" w:ascii="宋体" w:hAnsi="宋体" w:cs="宋体"/>
          <w:color w:val="auto"/>
          <w:sz w:val="24"/>
          <w:szCs w:val="24"/>
        </w:rPr>
        <w:t>对方明确的地址。</w:t>
      </w:r>
    </w:p>
    <w:p>
      <w:pPr>
        <w:pStyle w:val="3"/>
        <w:widowControl/>
        <w:snapToGrid w:val="0"/>
        <w:spacing w:before="0" w:after="0" w:line="360" w:lineRule="auto"/>
        <w:ind w:firstLine="482" w:firstLineChars="200"/>
        <w:jc w:val="both"/>
        <w:rPr>
          <w:rFonts w:hAnsi="宋体" w:cs="宋体"/>
          <w:color w:val="auto"/>
          <w:szCs w:val="24"/>
        </w:rPr>
      </w:pPr>
      <w:bookmarkStart w:id="63" w:name="_Toc366495215"/>
      <w:r>
        <w:rPr>
          <w:rFonts w:hAnsi="宋体" w:cs="宋体"/>
          <w:color w:val="auto"/>
          <w:szCs w:val="24"/>
          <w:u w:val="none"/>
        </w:rPr>
        <w:t>23. 计量单位</w:t>
      </w:r>
      <w:bookmarkEnd w:id="63"/>
    </w:p>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23.1 除技术规范中另有规定外，计量单位均使用国家法定计量单位。</w:t>
      </w:r>
    </w:p>
    <w:p>
      <w:pPr>
        <w:pStyle w:val="3"/>
        <w:widowControl/>
        <w:snapToGrid w:val="0"/>
        <w:spacing w:before="0" w:after="0" w:line="360" w:lineRule="auto"/>
        <w:ind w:firstLine="482" w:firstLineChars="200"/>
        <w:jc w:val="both"/>
        <w:rPr>
          <w:rFonts w:hAnsi="宋体" w:cs="宋体"/>
          <w:color w:val="auto"/>
          <w:szCs w:val="24"/>
        </w:rPr>
      </w:pPr>
      <w:bookmarkStart w:id="64" w:name="_Toc366495216"/>
      <w:r>
        <w:rPr>
          <w:rFonts w:hAnsi="宋体" w:cs="宋体"/>
          <w:color w:val="auto"/>
          <w:szCs w:val="24"/>
          <w:u w:val="none"/>
        </w:rPr>
        <w:t>24</w:t>
      </w:r>
      <w:bookmarkStart w:id="65" w:name="_Toc330473032"/>
      <w:bookmarkStart w:id="66" w:name="_Toc289327709"/>
      <w:r>
        <w:rPr>
          <w:rFonts w:hAnsi="宋体" w:cs="宋体"/>
          <w:color w:val="auto"/>
          <w:szCs w:val="24"/>
          <w:u w:val="none"/>
        </w:rPr>
        <w:t>. 适用法律</w:t>
      </w:r>
      <w:bookmarkEnd w:id="64"/>
    </w:p>
    <w:bookmarkEnd w:id="65"/>
    <w:bookmarkEnd w:id="66"/>
    <w:p>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24.1 本合同应按照中华人民共和国的法律进行解释。</w:t>
      </w:r>
    </w:p>
    <w:p>
      <w:pPr>
        <w:pStyle w:val="3"/>
        <w:widowControl/>
        <w:snapToGrid w:val="0"/>
        <w:spacing w:before="0" w:after="0" w:line="360" w:lineRule="auto"/>
        <w:ind w:firstLine="482" w:firstLineChars="200"/>
        <w:jc w:val="both"/>
        <w:rPr>
          <w:rFonts w:hAnsi="宋体" w:cs="宋体"/>
          <w:color w:val="auto"/>
          <w:szCs w:val="24"/>
        </w:rPr>
      </w:pPr>
      <w:bookmarkStart w:id="67" w:name="_Toc366495218"/>
      <w:r>
        <w:rPr>
          <w:rFonts w:hAnsi="宋体" w:cs="宋体"/>
          <w:color w:val="auto"/>
          <w:szCs w:val="24"/>
        </w:rPr>
        <w:t>25</w:t>
      </w:r>
      <w:r>
        <w:rPr>
          <w:rFonts w:hint="default" w:hAnsi="宋体" w:cs="宋体"/>
          <w:color w:val="auto"/>
          <w:szCs w:val="24"/>
        </w:rPr>
        <w:t>.</w:t>
      </w:r>
      <w:r>
        <w:rPr>
          <w:rFonts w:hAnsi="宋体" w:cs="宋体"/>
          <w:color w:val="auto"/>
          <w:szCs w:val="24"/>
          <w:u w:val="none"/>
        </w:rPr>
        <w:t>合同生效和其它</w:t>
      </w:r>
      <w:bookmarkEnd w:id="67"/>
    </w:p>
    <w:p>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本合同一式陆份，具同等法律效力，买方执叁份，卖方执叁份。自甲乙双方签字盖章之日起生效。合同未尽事宜，双方友好协商解决。</w:t>
      </w:r>
    </w:p>
    <w:p>
      <w:pPr>
        <w:pStyle w:val="2"/>
        <w:widowControl/>
        <w:spacing w:before="0" w:line="360" w:lineRule="auto"/>
        <w:ind w:firstLine="482" w:firstLineChars="200"/>
        <w:rPr>
          <w:rFonts w:hint="eastAsia" w:ascii="宋体" w:hAnsi="宋体" w:eastAsia="宋体" w:cs="宋体"/>
          <w:color w:val="auto"/>
          <w:sz w:val="32"/>
          <w:szCs w:val="32"/>
        </w:rPr>
      </w:pPr>
      <w:r>
        <w:rPr>
          <w:rFonts w:hint="eastAsia" w:ascii="宋体" w:hAnsi="宋体" w:eastAsia="宋体" w:cs="宋体"/>
          <w:color w:val="auto"/>
          <w:sz w:val="24"/>
          <w:szCs w:val="24"/>
        </w:rPr>
        <w:br w:type="page"/>
      </w:r>
      <w:r>
        <w:rPr>
          <w:rFonts w:hint="eastAsia" w:ascii="宋体" w:hAnsi="宋体" w:eastAsia="宋体" w:cs="宋体"/>
          <w:color w:val="auto"/>
          <w:sz w:val="32"/>
          <w:szCs w:val="32"/>
        </w:rPr>
        <w:t>合同特殊条款</w:t>
      </w:r>
    </w:p>
    <w:p>
      <w:pPr>
        <w:pStyle w:val="2"/>
        <w:widowControl/>
        <w:spacing w:before="0" w:line="360" w:lineRule="auto"/>
        <w:ind w:firstLine="482" w:firstLineChars="200"/>
        <w:rPr>
          <w:rFonts w:hint="eastAsia" w:ascii="宋体" w:hAnsi="宋体" w:eastAsia="宋体" w:cs="宋体"/>
          <w:color w:val="auto"/>
          <w:sz w:val="24"/>
          <w:szCs w:val="24"/>
        </w:rPr>
      </w:pP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合同特殊条款是合同一般条款的补充和修改。如果两者之间有抵触，应以特殊条款为准。合同特殊条款的序号将与合同一般条款序号相对应。</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1.定义</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1.4 买方：本合同买方系指：</w:t>
      </w:r>
      <w:r>
        <w:rPr>
          <w:rFonts w:hint="eastAsia" w:ascii="宋体" w:hAnsi="宋体" w:cs="宋体"/>
          <w:color w:val="auto"/>
          <w:szCs w:val="24"/>
          <w:u w:val="single"/>
        </w:rPr>
        <w:t>  国家文物局考古研究中心（甲方） </w:t>
      </w:r>
      <w:r>
        <w:rPr>
          <w:rFonts w:hint="eastAsia" w:ascii="宋体" w:hAnsi="宋体" w:cs="宋体"/>
          <w:color w:val="auto"/>
          <w:szCs w:val="24"/>
        </w:rPr>
        <w:t>。</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1.5 卖方：本合同卖方系指：</w:t>
      </w:r>
      <w:r>
        <w:rPr>
          <w:rFonts w:hint="eastAsia" w:ascii="宋体" w:hAnsi="宋体" w:cs="宋体"/>
          <w:color w:val="auto"/>
          <w:szCs w:val="24"/>
          <w:u w:val="single"/>
        </w:rPr>
        <w:t>        </w:t>
      </w:r>
      <w:r>
        <w:rPr>
          <w:rFonts w:hint="eastAsia" w:ascii="宋体" w:hAnsi="宋体" w:cs="宋体"/>
          <w:color w:val="auto"/>
          <w:szCs w:val="24"/>
        </w:rPr>
        <w:t>。</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1.6 现场：本合同项下的货物安装和运行地点为</w:t>
      </w:r>
      <w:r>
        <w:rPr>
          <w:rFonts w:hint="eastAsia" w:ascii="宋体" w:hAnsi="宋体" w:cs="宋体"/>
          <w:color w:val="auto"/>
          <w:szCs w:val="24"/>
          <w:u w:val="single"/>
        </w:rPr>
        <w:t>   </w:t>
      </w:r>
      <w:r>
        <w:rPr>
          <w:rFonts w:hint="eastAsia" w:ascii="宋体" w:hAnsi="宋体" w:cs="宋体"/>
          <w:color w:val="auto"/>
          <w:szCs w:val="24"/>
          <w:u w:val="single"/>
          <w:lang w:val="en-US" w:eastAsia="zh-CN"/>
        </w:rPr>
        <w:t>山东省</w:t>
      </w:r>
      <w:r>
        <w:rPr>
          <w:rFonts w:hint="eastAsia" w:ascii="宋体" w:hAnsi="宋体" w:cs="宋体"/>
          <w:color w:val="auto"/>
          <w:szCs w:val="24"/>
          <w:u w:val="single"/>
        </w:rPr>
        <w:t>青岛</w:t>
      </w:r>
      <w:r>
        <w:rPr>
          <w:rFonts w:hint="eastAsia" w:ascii="宋体" w:hAnsi="宋体" w:cs="宋体"/>
          <w:color w:val="auto"/>
          <w:szCs w:val="24"/>
          <w:u w:val="single"/>
          <w:lang w:val="en-US" w:eastAsia="zh-CN"/>
        </w:rPr>
        <w:t>市即墨区</w:t>
      </w:r>
      <w:r>
        <w:rPr>
          <w:rFonts w:hint="eastAsia" w:ascii="宋体" w:hAnsi="宋体" w:cs="宋体"/>
          <w:color w:val="auto"/>
          <w:szCs w:val="24"/>
          <w:u w:val="single"/>
        </w:rPr>
        <w:t>     </w:t>
      </w:r>
      <w:r>
        <w:rPr>
          <w:rFonts w:hint="eastAsia" w:ascii="宋体" w:hAnsi="宋体" w:cs="宋体"/>
          <w:color w:val="auto"/>
          <w:szCs w:val="24"/>
        </w:rPr>
        <w:t xml:space="preserve"> 。</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6.交货方式</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6.1 本合同项下的货物交货方式为：</w:t>
      </w:r>
      <w:r>
        <w:rPr>
          <w:rFonts w:hint="eastAsia" w:ascii="宋体" w:hAnsi="宋体" w:cs="宋体"/>
          <w:color w:val="auto"/>
          <w:szCs w:val="24"/>
          <w:u w:val="single"/>
        </w:rPr>
        <w:t>    现场交货    </w:t>
      </w:r>
      <w:r>
        <w:rPr>
          <w:rFonts w:hint="eastAsia" w:ascii="宋体" w:hAnsi="宋体" w:cs="宋体"/>
          <w:color w:val="auto"/>
          <w:szCs w:val="24"/>
        </w:rPr>
        <w:t>。</w:t>
      </w:r>
    </w:p>
    <w:p>
      <w:pPr>
        <w:snapToGrid w:val="0"/>
        <w:spacing w:line="360" w:lineRule="auto"/>
        <w:rPr>
          <w:rFonts w:hint="eastAsia" w:ascii="宋体" w:hAnsi="宋体" w:cs="宋体"/>
          <w:color w:val="auto"/>
          <w:sz w:val="24"/>
          <w:szCs w:val="32"/>
          <w:u w:val="single"/>
        </w:rPr>
      </w:pPr>
      <w:r>
        <w:rPr>
          <w:rFonts w:hint="eastAsia" w:ascii="宋体" w:hAnsi="宋体" w:cs="宋体"/>
          <w:color w:val="auto"/>
          <w:szCs w:val="24"/>
        </w:rPr>
        <w:t>9.付款条件：</w:t>
      </w:r>
      <w:r>
        <w:rPr>
          <w:rFonts w:hint="eastAsia" w:ascii="宋体" w:hAnsi="宋体" w:cs="宋体"/>
          <w:color w:val="auto"/>
          <w:sz w:val="24"/>
          <w:szCs w:val="32"/>
          <w:u w:val="single"/>
        </w:rPr>
        <w:t>本合同签订后</w:t>
      </w:r>
      <w:r>
        <w:rPr>
          <w:rFonts w:hint="eastAsia" w:ascii="宋体" w:hAnsi="宋体" w:cs="宋体"/>
          <w:color w:val="auto"/>
          <w:sz w:val="24"/>
          <w:szCs w:val="32"/>
          <w:u w:val="single"/>
          <w:lang w:val="en-US" w:eastAsia="zh-CN"/>
        </w:rPr>
        <w:t>10</w:t>
      </w:r>
      <w:r>
        <w:rPr>
          <w:rFonts w:hint="eastAsia" w:ascii="宋体" w:hAnsi="宋体" w:cs="宋体"/>
          <w:color w:val="auto"/>
          <w:sz w:val="24"/>
          <w:szCs w:val="32"/>
          <w:u w:val="single"/>
        </w:rPr>
        <w:t>个工作日内，乙方须向甲方交纳本项目总金额10%的履约保证金，即人民币  元（大写：人民</w:t>
      </w:r>
      <w:r>
        <w:rPr>
          <w:rFonts w:hint="eastAsia" w:ascii="宋体" w:hAnsi="宋体" w:cs="宋体"/>
          <w:color w:val="auto"/>
          <w:sz w:val="24"/>
          <w:szCs w:val="32"/>
          <w:u w:val="single"/>
          <w:lang w:val="en-US" w:eastAsia="zh-CN"/>
        </w:rPr>
        <w:t xml:space="preserve"> </w:t>
      </w:r>
      <w:r>
        <w:rPr>
          <w:rFonts w:hint="eastAsia" w:ascii="宋体" w:hAnsi="宋体" w:cs="宋体"/>
          <w:color w:val="auto"/>
          <w:sz w:val="24"/>
          <w:szCs w:val="32"/>
          <w:u w:val="single"/>
        </w:rPr>
        <w:t>元整</w:t>
      </w:r>
      <w:r>
        <w:rPr>
          <w:rFonts w:hint="eastAsia" w:ascii="宋体" w:hAnsi="宋体" w:cs="宋体"/>
          <w:color w:val="auto"/>
          <w:sz w:val="24"/>
          <w:szCs w:val="32"/>
          <w:u w:val="single"/>
          <w:lang w:val="en-US" w:eastAsia="zh-CN"/>
        </w:rPr>
        <w:t xml:space="preserve"> </w:t>
      </w:r>
      <w:r>
        <w:rPr>
          <w:rFonts w:hint="eastAsia" w:ascii="宋体" w:hAnsi="宋体" w:cs="宋体"/>
          <w:color w:val="auto"/>
          <w:sz w:val="24"/>
          <w:szCs w:val="32"/>
          <w:u w:val="single"/>
        </w:rPr>
        <w:t xml:space="preserve"> ）。同时，乙方须提供本年度符合国家规定的正式发票；甲方应在收到乙方提交的履约保证金及正式发票后</w:t>
      </w:r>
      <w:r>
        <w:rPr>
          <w:rFonts w:hint="eastAsia" w:ascii="宋体" w:hAnsi="宋体" w:cs="宋体"/>
          <w:color w:val="auto"/>
          <w:sz w:val="24"/>
          <w:szCs w:val="32"/>
          <w:u w:val="single"/>
          <w:lang w:val="en-US" w:eastAsia="zh-CN"/>
        </w:rPr>
        <w:t>15</w:t>
      </w:r>
      <w:r>
        <w:rPr>
          <w:rFonts w:hint="eastAsia" w:ascii="宋体" w:hAnsi="宋体" w:cs="宋体"/>
          <w:color w:val="auto"/>
          <w:sz w:val="24"/>
          <w:szCs w:val="32"/>
          <w:u w:val="single"/>
        </w:rPr>
        <w:t>个工作日内向乙方支付本项目</w:t>
      </w:r>
      <w:r>
        <w:rPr>
          <w:rFonts w:hint="eastAsia" w:ascii="宋体" w:hAnsi="宋体" w:cs="宋体"/>
          <w:color w:val="auto"/>
          <w:sz w:val="24"/>
          <w:szCs w:val="32"/>
          <w:u w:val="single"/>
          <w:lang w:val="en-US" w:eastAsia="zh-CN"/>
        </w:rPr>
        <w:t>首付款，计人民币210000元</w:t>
      </w:r>
      <w:r>
        <w:rPr>
          <w:rFonts w:hint="eastAsia" w:ascii="宋体" w:hAnsi="宋体" w:cs="宋体"/>
          <w:color w:val="auto"/>
          <w:sz w:val="24"/>
          <w:szCs w:val="32"/>
          <w:u w:val="single"/>
        </w:rPr>
        <w:t>（大写：人民币贰拾壹万元整</w:t>
      </w:r>
      <w:bookmarkStart w:id="73" w:name="_GoBack"/>
      <w:bookmarkEnd w:id="73"/>
      <w:r>
        <w:rPr>
          <w:rFonts w:hint="eastAsia" w:ascii="宋体" w:hAnsi="宋体" w:cs="宋体"/>
          <w:color w:val="auto"/>
          <w:sz w:val="24"/>
          <w:szCs w:val="32"/>
          <w:u w:val="single"/>
          <w:lang w:val="en-US" w:eastAsia="zh-CN"/>
        </w:rPr>
        <w:t xml:space="preserve"> </w:t>
      </w:r>
      <w:r>
        <w:rPr>
          <w:rFonts w:hint="eastAsia" w:ascii="宋体" w:hAnsi="宋体" w:cs="宋体"/>
          <w:color w:val="auto"/>
          <w:sz w:val="24"/>
          <w:szCs w:val="32"/>
          <w:u w:val="single"/>
        </w:rPr>
        <w:t>）。</w:t>
      </w:r>
    </w:p>
    <w:p>
      <w:pPr>
        <w:snapToGrid w:val="0"/>
        <w:spacing w:line="360" w:lineRule="auto"/>
        <w:rPr>
          <w:rFonts w:hint="eastAsia" w:ascii="宋体" w:hAnsi="宋体" w:cs="宋体"/>
          <w:color w:val="auto"/>
          <w:szCs w:val="24"/>
        </w:rPr>
      </w:pPr>
      <w:r>
        <w:rPr>
          <w:rFonts w:hint="eastAsia" w:ascii="宋体" w:hAnsi="宋体" w:cs="宋体"/>
          <w:color w:val="auto"/>
          <w:sz w:val="24"/>
          <w:szCs w:val="32"/>
          <w:u w:val="single"/>
        </w:rPr>
        <w:t>货物</w:t>
      </w:r>
      <w:r>
        <w:rPr>
          <w:rFonts w:hint="eastAsia" w:ascii="宋体" w:hAnsi="宋体" w:cs="宋体"/>
          <w:color w:val="auto"/>
          <w:sz w:val="24"/>
          <w:szCs w:val="32"/>
          <w:u w:val="single"/>
          <w:lang w:val="en-US" w:eastAsia="zh-CN"/>
        </w:rPr>
        <w:t>制作完成后，</w:t>
      </w:r>
      <w:r>
        <w:rPr>
          <w:rFonts w:hint="eastAsia" w:ascii="宋体" w:hAnsi="宋体" w:cs="宋体"/>
          <w:color w:val="auto"/>
          <w:sz w:val="24"/>
          <w:szCs w:val="32"/>
          <w:u w:val="single"/>
        </w:rPr>
        <w:t>到达甲方指定地点现场，安装、调试合格并通过甲方验收</w:t>
      </w:r>
      <w:r>
        <w:rPr>
          <w:rFonts w:hint="eastAsia" w:ascii="宋体" w:hAnsi="宋体" w:cs="宋体"/>
          <w:color w:val="auto"/>
          <w:sz w:val="24"/>
          <w:szCs w:val="32"/>
          <w:u w:val="single"/>
          <w:lang w:eastAsia="zh-CN"/>
        </w:rPr>
        <w:t>，</w:t>
      </w:r>
      <w:r>
        <w:rPr>
          <w:rFonts w:hint="eastAsia" w:ascii="宋体" w:hAnsi="宋体" w:cs="宋体"/>
          <w:color w:val="auto"/>
          <w:sz w:val="24"/>
          <w:szCs w:val="32"/>
          <w:u w:val="single"/>
          <w:lang w:val="en-US" w:eastAsia="zh-CN"/>
        </w:rPr>
        <w:t>通过</w:t>
      </w:r>
      <w:r>
        <w:rPr>
          <w:rFonts w:hint="eastAsia" w:ascii="宋体" w:hAnsi="宋体" w:cs="宋体"/>
          <w:color w:val="auto"/>
          <w:sz w:val="24"/>
          <w:szCs w:val="32"/>
          <w:u w:val="single"/>
        </w:rPr>
        <w:t>甲方验收后</w:t>
      </w:r>
      <w:r>
        <w:rPr>
          <w:rFonts w:hint="eastAsia" w:ascii="宋体" w:hAnsi="宋体" w:cs="宋体"/>
          <w:color w:val="auto"/>
          <w:sz w:val="24"/>
          <w:szCs w:val="32"/>
          <w:u w:val="single"/>
          <w:lang w:val="en-US" w:eastAsia="zh-CN"/>
        </w:rPr>
        <w:t>15</w:t>
      </w:r>
      <w:r>
        <w:rPr>
          <w:rFonts w:hint="eastAsia" w:ascii="宋体" w:hAnsi="宋体" w:cs="宋体"/>
          <w:color w:val="auto"/>
          <w:sz w:val="24"/>
          <w:szCs w:val="32"/>
          <w:u w:val="single"/>
        </w:rPr>
        <w:t>个工作日内，甲方向乙方支付</w:t>
      </w:r>
      <w:r>
        <w:rPr>
          <w:rFonts w:hint="eastAsia" w:ascii="宋体" w:hAnsi="宋体" w:cs="宋体"/>
          <w:color w:val="auto"/>
          <w:sz w:val="24"/>
          <w:szCs w:val="32"/>
          <w:u w:val="single"/>
          <w:lang w:val="en-US" w:eastAsia="zh-CN"/>
        </w:rPr>
        <w:t>剩余</w:t>
      </w:r>
      <w:r>
        <w:rPr>
          <w:rFonts w:hint="eastAsia" w:ascii="宋体" w:hAnsi="宋体" w:cs="宋体"/>
          <w:color w:val="auto"/>
          <w:sz w:val="24"/>
          <w:szCs w:val="32"/>
          <w:u w:val="single"/>
        </w:rPr>
        <w:t>合同</w:t>
      </w:r>
      <w:r>
        <w:rPr>
          <w:rFonts w:hint="eastAsia" w:ascii="宋体" w:hAnsi="宋体" w:cs="宋体"/>
          <w:color w:val="auto"/>
          <w:sz w:val="24"/>
          <w:szCs w:val="32"/>
          <w:u w:val="single"/>
          <w:lang w:val="en-US" w:eastAsia="zh-CN"/>
        </w:rPr>
        <w:t>尾款</w:t>
      </w:r>
      <w:r>
        <w:rPr>
          <w:rFonts w:hint="eastAsia" w:ascii="宋体" w:hAnsi="宋体" w:cs="宋体"/>
          <w:color w:val="auto"/>
          <w:sz w:val="24"/>
          <w:szCs w:val="32"/>
          <w:u w:val="single"/>
        </w:rPr>
        <w:t>，计</w:t>
      </w:r>
      <w:r>
        <w:rPr>
          <w:rFonts w:hint="eastAsia" w:ascii="宋体" w:hAnsi="宋体" w:cs="宋体"/>
          <w:color w:val="auto"/>
          <w:sz w:val="24"/>
          <w:szCs w:val="32"/>
          <w:u w:val="single"/>
          <w:lang w:val="en-US" w:eastAsia="zh-CN"/>
        </w:rPr>
        <w:t>人民币</w:t>
      </w:r>
      <w:r>
        <w:rPr>
          <w:rFonts w:hint="eastAsia" w:ascii="宋体" w:hAnsi="宋体" w:cs="宋体"/>
          <w:color w:val="auto"/>
          <w:sz w:val="24"/>
          <w:szCs w:val="32"/>
          <w:u w:val="single"/>
        </w:rPr>
        <w:t xml:space="preserve"> </w:t>
      </w:r>
      <w:r>
        <w:rPr>
          <w:rFonts w:hint="eastAsia" w:ascii="宋体" w:hAnsi="宋体" w:cs="宋体"/>
          <w:color w:val="auto"/>
          <w:sz w:val="24"/>
          <w:szCs w:val="32"/>
          <w:u w:val="single"/>
          <w:lang w:val="en-US" w:eastAsia="zh-CN"/>
        </w:rPr>
        <w:t>元</w:t>
      </w:r>
      <w:r>
        <w:rPr>
          <w:rFonts w:hint="eastAsia" w:ascii="宋体" w:hAnsi="宋体" w:cs="宋体"/>
          <w:color w:val="auto"/>
          <w:sz w:val="24"/>
          <w:szCs w:val="32"/>
          <w:u w:val="single"/>
        </w:rPr>
        <w:t>（大写：人民币</w:t>
      </w:r>
      <w:r>
        <w:rPr>
          <w:rFonts w:hint="eastAsia" w:ascii="宋体" w:hAnsi="宋体" w:cs="宋体"/>
          <w:color w:val="auto"/>
          <w:sz w:val="24"/>
          <w:szCs w:val="32"/>
          <w:u w:val="single"/>
          <w:lang w:val="en-US" w:eastAsia="zh-CN"/>
        </w:rPr>
        <w:t xml:space="preserve"> </w:t>
      </w:r>
      <w:r>
        <w:rPr>
          <w:rFonts w:hint="eastAsia" w:ascii="宋体" w:hAnsi="宋体" w:cs="宋体"/>
          <w:color w:val="auto"/>
          <w:sz w:val="24"/>
          <w:szCs w:val="32"/>
          <w:u w:val="single"/>
        </w:rPr>
        <w:t>）</w:t>
      </w:r>
      <w:r>
        <w:rPr>
          <w:rFonts w:hint="eastAsia" w:ascii="宋体" w:hAnsi="宋体" w:cs="宋体"/>
          <w:color w:val="auto"/>
          <w:sz w:val="24"/>
          <w:szCs w:val="32"/>
          <w:u w:val="single"/>
          <w:lang w:eastAsia="zh-CN"/>
        </w:rPr>
        <w:t>。乙方向甲方支付合同总价10%的履约保证金，</w:t>
      </w:r>
      <w:r>
        <w:rPr>
          <w:rFonts w:hint="eastAsia" w:ascii="宋体" w:hAnsi="宋体" w:cs="宋体"/>
          <w:color w:val="auto"/>
          <w:sz w:val="24"/>
          <w:szCs w:val="32"/>
          <w:u w:val="single"/>
          <w:lang w:val="en-US" w:eastAsia="zh-CN"/>
        </w:rPr>
        <w:t>质保期内，乙方为甲方展览无偿提供本合同船模安装调试服务。</w:t>
      </w:r>
      <w:r>
        <w:rPr>
          <w:rFonts w:hint="eastAsia" w:ascii="宋体" w:hAnsi="宋体" w:cs="宋体"/>
          <w:color w:val="auto"/>
          <w:sz w:val="24"/>
          <w:szCs w:val="32"/>
          <w:u w:val="single"/>
          <w:lang w:eastAsia="zh-CN"/>
        </w:rPr>
        <w:t>待质保期满</w:t>
      </w:r>
      <w:r>
        <w:rPr>
          <w:rFonts w:hint="eastAsia" w:ascii="宋体" w:hAnsi="宋体" w:cs="宋体"/>
          <w:color w:val="auto"/>
          <w:sz w:val="24"/>
          <w:szCs w:val="32"/>
          <w:u w:val="single"/>
          <w:lang w:val="en-US" w:eastAsia="zh-CN"/>
        </w:rPr>
        <w:t>2</w:t>
      </w:r>
      <w:r>
        <w:rPr>
          <w:rFonts w:hint="eastAsia" w:ascii="宋体" w:hAnsi="宋体" w:cs="宋体"/>
          <w:color w:val="auto"/>
          <w:sz w:val="24"/>
          <w:szCs w:val="32"/>
          <w:u w:val="single"/>
          <w:lang w:eastAsia="zh-CN"/>
        </w:rPr>
        <w:t>年后甲方向乙方无息退还履约保证金。</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10.技术资料：</w:t>
      </w:r>
      <w:r>
        <w:rPr>
          <w:rFonts w:hint="eastAsia" w:ascii="宋体" w:hAnsi="宋体" w:cs="宋体"/>
          <w:color w:val="auto"/>
          <w:szCs w:val="24"/>
          <w:u w:val="single"/>
        </w:rPr>
        <w:t> 供应商最终交付时应提供原型船背景资料、图纸资料（含原</w:t>
      </w:r>
      <w:r>
        <w:rPr>
          <w:rFonts w:hint="eastAsia" w:ascii="宋体" w:hAnsi="宋体" w:cs="宋体"/>
          <w:color w:val="auto"/>
          <w:szCs w:val="24"/>
          <w:u w:val="single"/>
          <w:lang w:val="en-US" w:eastAsia="zh-CN"/>
        </w:rPr>
        <w:t>型</w:t>
      </w:r>
      <w:r>
        <w:rPr>
          <w:rFonts w:hint="eastAsia" w:ascii="宋体" w:hAnsi="宋体" w:cs="宋体"/>
          <w:color w:val="auto"/>
          <w:szCs w:val="24"/>
          <w:u w:val="single"/>
        </w:rPr>
        <w:t>船测绘图纸和船型线图等</w:t>
      </w:r>
      <w:r>
        <w:rPr>
          <w:rFonts w:hint="eastAsia" w:ascii="宋体" w:hAnsi="宋体" w:cs="宋体"/>
          <w:color w:val="auto"/>
          <w:szCs w:val="24"/>
          <w:u w:val="single"/>
          <w:lang w:val="en-US" w:eastAsia="zh-CN"/>
        </w:rPr>
        <w:t>复原</w:t>
      </w:r>
      <w:r>
        <w:rPr>
          <w:rFonts w:hint="eastAsia" w:ascii="宋体" w:hAnsi="宋体" w:cs="宋体"/>
          <w:color w:val="auto"/>
          <w:szCs w:val="24"/>
          <w:u w:val="single"/>
        </w:rPr>
        <w:t>设计图纸）、关键制作过程的影像资料，以及船模主材、帆装、涂装、彩绘、属具等内容说明。</w:t>
      </w:r>
      <w:r>
        <w:rPr>
          <w:rFonts w:hint="eastAsia" w:ascii="宋体" w:hAnsi="宋体" w:cs="宋体"/>
          <w:color w:val="auto"/>
          <w:szCs w:val="24"/>
        </w:rPr>
        <w:t xml:space="preserve"> </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11.质量保证</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11.3 卖方在收到通知后</w:t>
      </w:r>
      <w:r>
        <w:rPr>
          <w:rFonts w:hint="eastAsia" w:ascii="宋体" w:hAnsi="宋体" w:cs="宋体"/>
          <w:color w:val="auto"/>
          <w:szCs w:val="24"/>
          <w:u w:val="single"/>
        </w:rPr>
        <w:t>2</w:t>
      </w:r>
      <w:r>
        <w:rPr>
          <w:rFonts w:hint="eastAsia" w:ascii="宋体" w:hAnsi="宋体" w:cs="宋体"/>
          <w:color w:val="auto"/>
          <w:szCs w:val="24"/>
        </w:rPr>
        <w:t>天内应免费维修或更换有缺陷的货物或部件。</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11.4 如果卖方在收到通知后</w:t>
      </w:r>
      <w:r>
        <w:rPr>
          <w:rFonts w:hint="eastAsia" w:ascii="宋体" w:hAnsi="宋体" w:cs="宋体"/>
          <w:color w:val="auto"/>
          <w:szCs w:val="24"/>
          <w:u w:val="single"/>
        </w:rPr>
        <w:t>2</w:t>
      </w:r>
      <w:r>
        <w:rPr>
          <w:rFonts w:hint="eastAsia" w:ascii="宋体" w:hAnsi="宋体" w:cs="宋体"/>
          <w:color w:val="auto"/>
          <w:szCs w:val="24"/>
        </w:rPr>
        <w:t>天内没有弥补缺陷，买方可采取必要的补救措施，但风险和费用将由卖方承担。</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11.5 合同项下货物的质量保证期为自货物通过最终验收起</w:t>
      </w:r>
      <w:r>
        <w:rPr>
          <w:rFonts w:hint="eastAsia" w:ascii="宋体" w:hAnsi="宋体" w:cs="宋体"/>
          <w:color w:val="auto"/>
          <w:szCs w:val="24"/>
          <w:lang w:val="en-US" w:eastAsia="zh-CN"/>
        </w:rPr>
        <w:t>24</w:t>
      </w:r>
      <w:r>
        <w:rPr>
          <w:rFonts w:hint="eastAsia" w:ascii="宋体" w:hAnsi="宋体" w:cs="宋体"/>
          <w:color w:val="auto"/>
          <w:szCs w:val="24"/>
        </w:rPr>
        <w:t>个月。</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12.检验和验收</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13.索赔</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13.3 索赔通知期限：</w:t>
      </w:r>
      <w:r>
        <w:rPr>
          <w:rFonts w:hint="eastAsia" w:ascii="宋体" w:hAnsi="宋体" w:cs="宋体"/>
          <w:color w:val="auto"/>
          <w:szCs w:val="24"/>
          <w:u w:val="single"/>
        </w:rPr>
        <w:t>  5  </w:t>
      </w:r>
      <w:r>
        <w:rPr>
          <w:rFonts w:hint="eastAsia" w:ascii="宋体" w:hAnsi="宋体" w:cs="宋体"/>
          <w:color w:val="auto"/>
          <w:szCs w:val="24"/>
        </w:rPr>
        <w:t>天。</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16.不可抗力</w:t>
      </w:r>
    </w:p>
    <w:p>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16.2 不可抗力通知送达时间：事故发生后</w:t>
      </w:r>
      <w:r>
        <w:rPr>
          <w:rFonts w:hint="eastAsia" w:ascii="宋体" w:hAnsi="宋体" w:cs="宋体"/>
          <w:color w:val="auto"/>
          <w:szCs w:val="24"/>
          <w:u w:val="single"/>
        </w:rPr>
        <w:t>  5  </w:t>
      </w:r>
      <w:r>
        <w:rPr>
          <w:rFonts w:hint="eastAsia" w:ascii="宋体" w:hAnsi="宋体" w:cs="宋体"/>
          <w:color w:val="auto"/>
          <w:szCs w:val="24"/>
        </w:rPr>
        <w:t>天内。</w:t>
      </w:r>
    </w:p>
    <w:p>
      <w:pPr>
        <w:rPr>
          <w:rFonts w:hint="eastAsia" w:ascii="宋体" w:hAnsi="宋体" w:cs="宋体"/>
          <w:color w:val="auto"/>
          <w:szCs w:val="24"/>
        </w:rPr>
      </w:pPr>
      <w:r>
        <w:rPr>
          <w:rFonts w:hint="eastAsia" w:ascii="宋体" w:hAnsi="宋体" w:cs="宋体"/>
          <w:color w:val="auto"/>
          <w:szCs w:val="24"/>
        </w:rPr>
        <w:br w:type="page"/>
      </w:r>
    </w:p>
    <w:p>
      <w:pPr>
        <w:pStyle w:val="10"/>
        <w:widowControl/>
        <w:spacing w:line="360" w:lineRule="auto"/>
        <w:rPr>
          <w:rFonts w:ascii="Calibri" w:hAnsi="Calibri"/>
          <w:b/>
          <w:bCs/>
          <w:color w:val="auto"/>
          <w:sz w:val="44"/>
          <w:szCs w:val="52"/>
        </w:rPr>
      </w:pPr>
      <w:r>
        <w:rPr>
          <w:rFonts w:hint="eastAsia" w:ascii="宋体" w:hAnsi="宋体" w:cs="宋体"/>
          <w:color w:val="auto"/>
          <w:sz w:val="24"/>
          <w:szCs w:val="24"/>
          <w:u w:val="none"/>
          <w:lang w:val="en-US" w:eastAsia="zh-CN"/>
        </w:rPr>
        <w:t>附件：</w:t>
      </w:r>
      <w:r>
        <w:rPr>
          <w:rFonts w:hint="eastAsia" w:ascii="宋体" w:hAnsi="宋体" w:cs="宋体"/>
          <w:color w:val="auto"/>
          <w:sz w:val="24"/>
          <w:szCs w:val="24"/>
          <w:u w:val="none"/>
        </w:rPr>
        <w:t>《古代木帆船模型及参数要求》</w:t>
      </w:r>
    </w:p>
    <w:tbl>
      <w:tblPr>
        <w:tblStyle w:val="12"/>
        <w:tblW w:w="8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6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01"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 w:val="28"/>
                <w:szCs w:val="28"/>
              </w:rPr>
              <w:t>项目1：大型广船模型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尺寸</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工艺</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tcPr>
          <w:p>
            <w:pPr>
              <w:rPr>
                <w:rFonts w:hint="eastAsia" w:ascii="仿宋" w:hAnsi="仿宋" w:eastAsia="仿宋" w:cs="Times New Roman"/>
                <w:color w:val="auto"/>
                <w:szCs w:val="21"/>
              </w:rPr>
            </w:pPr>
            <w:r>
              <w:rPr>
                <w:rFonts w:hint="eastAsia" w:ascii="仿宋" w:hAnsi="仿宋" w:eastAsia="仿宋" w:cs="Times New Roman"/>
                <w:color w:val="auto"/>
                <w:szCs w:val="21"/>
              </w:rPr>
              <w:t>模型全长1.8米左右。船体构件细部与衔接清晰准确，比例科学准确，全方位展示中国古代广船建造工艺特征。</w:t>
            </w:r>
          </w:p>
          <w:p>
            <w:pPr>
              <w:rPr>
                <w:rFonts w:hint="eastAsia" w:ascii="仿宋" w:hAnsi="仿宋" w:eastAsia="仿宋" w:cs="Times New Roman"/>
                <w:color w:val="auto"/>
                <w:szCs w:val="21"/>
              </w:rPr>
            </w:pPr>
            <w:r>
              <w:rPr>
                <w:rFonts w:hint="eastAsia" w:ascii="仿宋" w:hAnsi="仿宋" w:eastAsia="仿宋" w:cs="Times New Roman"/>
                <w:color w:val="auto"/>
                <w:szCs w:val="21"/>
              </w:rPr>
              <w:t>备注：该模型需以中国古代广船中体型较大的</w:t>
            </w:r>
            <w:r>
              <w:rPr>
                <w:rFonts w:hint="eastAsia" w:ascii="仿宋" w:hAnsi="仿宋" w:eastAsia="仿宋" w:cs="Times New Roman"/>
                <w:color w:val="auto"/>
                <w:szCs w:val="21"/>
                <w:lang w:val="en-US" w:eastAsia="zh-CN"/>
              </w:rPr>
              <w:t>远洋</w:t>
            </w:r>
            <w:r>
              <w:rPr>
                <w:rFonts w:hint="eastAsia" w:ascii="仿宋" w:hAnsi="仿宋" w:eastAsia="仿宋" w:cs="Times New Roman"/>
                <w:color w:val="auto"/>
                <w:szCs w:val="21"/>
              </w:rPr>
              <w:t>运输商船为原型，等比例缩放制作而成。需遵循古代广船建造方法，由具备实船建造经验的工匠采用手工制作，着重体现广船的结构及建造工艺（中插板、开孔舵、圆弧形艉部），甲板之下的各舱室结构、桅底部件等需一并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船模</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主材</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vAlign w:val="center"/>
          </w:tcPr>
          <w:p>
            <w:pPr>
              <w:rPr>
                <w:rFonts w:hint="eastAsia" w:ascii="仿宋" w:hAnsi="仿宋" w:eastAsia="仿宋" w:cs="Times New Roman"/>
                <w:color w:val="auto"/>
                <w:szCs w:val="21"/>
              </w:rPr>
            </w:pPr>
            <w:r>
              <w:rPr>
                <w:rFonts w:hint="eastAsia" w:ascii="仿宋" w:hAnsi="仿宋" w:eastAsia="仿宋" w:cs="Times New Roman"/>
                <w:color w:val="auto"/>
                <w:szCs w:val="21"/>
              </w:rPr>
              <w:t>主材可选择</w:t>
            </w:r>
            <w:r>
              <w:rPr>
                <w:rFonts w:hint="eastAsia" w:ascii="仿宋" w:hAnsi="仿宋" w:eastAsia="仿宋" w:cs="Times New Roman"/>
                <w:color w:val="auto"/>
                <w:szCs w:val="21"/>
                <w:lang w:val="en-US" w:eastAsia="zh-CN"/>
              </w:rPr>
              <w:t>铁力木、柚木、樱桃木</w:t>
            </w:r>
            <w:r>
              <w:rPr>
                <w:rFonts w:hint="eastAsia" w:ascii="仿宋" w:hAnsi="仿宋" w:eastAsia="仿宋" w:cs="Times New Roman"/>
                <w:color w:val="auto"/>
                <w:szCs w:val="21"/>
              </w:rPr>
              <w:t>，</w:t>
            </w:r>
            <w:r>
              <w:rPr>
                <w:rFonts w:hint="eastAsia" w:ascii="仿宋" w:hAnsi="仿宋" w:eastAsia="仿宋" w:cs="Times New Roman"/>
                <w:color w:val="auto"/>
                <w:szCs w:val="21"/>
              </w:rPr>
              <w:t>辅材用樟木、松木等制作。或依据当地工匠造船传统选用其他稳定耐用、不易形变的天然木料。禁用不符合时代要求的塑料等现代工业用材。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3"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帆装</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涂装</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彩绘</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属具</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tcPr>
          <w:p>
            <w:pPr>
              <w:rPr>
                <w:rFonts w:hint="eastAsia" w:ascii="仿宋" w:hAnsi="仿宋" w:eastAsia="仿宋" w:cs="Times New Roman"/>
                <w:color w:val="auto"/>
                <w:szCs w:val="21"/>
              </w:rPr>
            </w:pPr>
            <w:r>
              <w:rPr>
                <w:rFonts w:hint="eastAsia" w:ascii="仿宋" w:hAnsi="仿宋" w:eastAsia="仿宋" w:cs="Times New Roman"/>
                <w:color w:val="auto"/>
                <w:szCs w:val="21"/>
              </w:rPr>
              <w:t>船体细部结构清晰。</w:t>
            </w:r>
          </w:p>
          <w:p>
            <w:pPr>
              <w:rPr>
                <w:rFonts w:hint="eastAsia" w:ascii="仿宋" w:hAnsi="仿宋" w:eastAsia="仿宋" w:cs="Times New Roman"/>
                <w:color w:val="auto"/>
                <w:szCs w:val="21"/>
              </w:rPr>
            </w:pPr>
            <w:r>
              <w:rPr>
                <w:rFonts w:ascii="仿宋" w:hAnsi="仿宋" w:eastAsia="仿宋" w:cs="Times New Roman"/>
                <w:color w:val="auto"/>
                <w:szCs w:val="21"/>
              </w:rPr>
              <w:t>1、</w:t>
            </w:r>
            <w:r>
              <w:rPr>
                <w:rFonts w:hint="eastAsia" w:ascii="仿宋" w:hAnsi="仿宋" w:eastAsia="仿宋" w:cs="Times New Roman"/>
                <w:color w:val="auto"/>
                <w:szCs w:val="21"/>
              </w:rPr>
              <w:t>帆装：参考明清广船帆装。</w:t>
            </w:r>
          </w:p>
          <w:p>
            <w:pPr>
              <w:rPr>
                <w:rFonts w:hint="eastAsia" w:ascii="仿宋" w:hAnsi="仿宋" w:eastAsia="仿宋" w:cs="Times New Roman"/>
                <w:color w:val="auto"/>
                <w:szCs w:val="21"/>
              </w:rPr>
            </w:pPr>
            <w:r>
              <w:rPr>
                <w:rFonts w:ascii="仿宋" w:hAnsi="仿宋" w:eastAsia="仿宋" w:cs="Times New Roman"/>
                <w:color w:val="auto"/>
                <w:szCs w:val="21"/>
              </w:rPr>
              <w:t>2、</w:t>
            </w:r>
            <w:r>
              <w:rPr>
                <w:rFonts w:hint="eastAsia" w:ascii="仿宋" w:hAnsi="仿宋" w:eastAsia="仿宋" w:cs="Times New Roman"/>
                <w:color w:val="auto"/>
                <w:szCs w:val="21"/>
              </w:rPr>
              <w:t>涂装：采用木蜡油进行涂装和木材封护。</w:t>
            </w:r>
          </w:p>
          <w:p>
            <w:pPr>
              <w:rPr>
                <w:rFonts w:hint="eastAsia" w:ascii="仿宋" w:hAnsi="仿宋" w:eastAsia="仿宋" w:cs="Times New Roman"/>
                <w:color w:val="auto"/>
                <w:szCs w:val="21"/>
              </w:rPr>
            </w:pPr>
            <w:r>
              <w:rPr>
                <w:rFonts w:ascii="仿宋" w:hAnsi="仿宋" w:eastAsia="仿宋" w:cs="Times New Roman"/>
                <w:color w:val="auto"/>
                <w:szCs w:val="21"/>
              </w:rPr>
              <w:t>3、</w:t>
            </w:r>
            <w:r>
              <w:rPr>
                <w:rFonts w:hint="eastAsia" w:ascii="仿宋" w:hAnsi="仿宋" w:eastAsia="仿宋" w:cs="Times New Roman"/>
                <w:color w:val="auto"/>
                <w:szCs w:val="21"/>
              </w:rPr>
              <w:t>彩绘：参考明清时期广船图案进行彩绘。</w:t>
            </w:r>
          </w:p>
          <w:p>
            <w:pPr>
              <w:rPr>
                <w:rFonts w:hint="eastAsia" w:ascii="仿宋" w:hAnsi="仿宋" w:eastAsia="仿宋" w:cs="Times New Roman"/>
                <w:color w:val="auto"/>
                <w:szCs w:val="21"/>
              </w:rPr>
            </w:pPr>
            <w:r>
              <w:rPr>
                <w:rFonts w:ascii="仿宋" w:hAnsi="仿宋" w:eastAsia="仿宋" w:cs="Times New Roman"/>
                <w:color w:val="auto"/>
                <w:szCs w:val="21"/>
              </w:rPr>
              <w:t>4、</w:t>
            </w:r>
            <w:r>
              <w:rPr>
                <w:rFonts w:hint="eastAsia" w:ascii="仿宋" w:hAnsi="仿宋" w:eastAsia="仿宋" w:cs="Times New Roman"/>
                <w:color w:val="auto"/>
                <w:szCs w:val="21"/>
              </w:rPr>
              <w:t>属具：帆绳采用棉麻制品，在属具配备上不使用化纤等不符合时代要求的现代制品。</w:t>
            </w:r>
          </w:p>
        </w:tc>
      </w:tr>
    </w:tbl>
    <w:p>
      <w:pPr>
        <w:rPr>
          <w:rFonts w:ascii="Calibri" w:hAnsi="Calibri"/>
          <w:color w:val="auto"/>
          <w:szCs w:val="24"/>
        </w:rPr>
      </w:pPr>
    </w:p>
    <w:tbl>
      <w:tblPr>
        <w:tblStyle w:val="12"/>
        <w:tblW w:w="8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6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01"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 w:val="28"/>
                <w:szCs w:val="28"/>
              </w:rPr>
              <w:t>项目2：中型广船模型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尺寸</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工艺</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tcPr>
          <w:p>
            <w:pPr>
              <w:rPr>
                <w:rFonts w:hint="eastAsia" w:ascii="仿宋" w:hAnsi="仿宋" w:eastAsia="仿宋" w:cs="Times New Roman"/>
                <w:color w:val="auto"/>
                <w:szCs w:val="21"/>
              </w:rPr>
            </w:pPr>
            <w:r>
              <w:rPr>
                <w:rFonts w:hint="eastAsia" w:ascii="仿宋" w:hAnsi="仿宋" w:eastAsia="仿宋" w:cs="Times New Roman"/>
                <w:color w:val="auto"/>
                <w:szCs w:val="21"/>
              </w:rPr>
              <w:t>模型全长1.6米左右。船体构件细部与衔接清晰准确，比例科学准确，全方位展示中国古代广船建造工艺特征。</w:t>
            </w:r>
          </w:p>
          <w:p>
            <w:pPr>
              <w:jc w:val="left"/>
              <w:rPr>
                <w:rFonts w:hint="eastAsia" w:ascii="仿宋" w:hAnsi="仿宋" w:eastAsia="仿宋" w:cs="Times New Roman"/>
                <w:color w:val="auto"/>
                <w:szCs w:val="21"/>
              </w:rPr>
            </w:pPr>
            <w:r>
              <w:rPr>
                <w:rFonts w:hint="eastAsia" w:ascii="仿宋" w:hAnsi="仿宋" w:eastAsia="仿宋" w:cs="Times New Roman"/>
                <w:color w:val="auto"/>
                <w:szCs w:val="21"/>
              </w:rPr>
              <w:t>备注：该模型选择中国古代广船中体型稍小、用于近海货运或渔业船只为原型，等比例缩放制作而成。需遵循古代广船建造方法，由具备实船建造经验的工匠采用手工制作，着重体现广船的结构及建造工艺，甲板之下的各舱室结构、桅底部件等需一并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船模</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主材</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vAlign w:val="center"/>
          </w:tcPr>
          <w:p>
            <w:pPr>
              <w:jc w:val="left"/>
              <w:rPr>
                <w:rFonts w:hint="eastAsia" w:ascii="仿宋" w:hAnsi="仿宋" w:eastAsia="仿宋" w:cs="Times New Roman"/>
                <w:color w:val="auto"/>
                <w:szCs w:val="21"/>
              </w:rPr>
            </w:pPr>
            <w:r>
              <w:rPr>
                <w:rFonts w:hint="eastAsia" w:ascii="仿宋" w:hAnsi="仿宋" w:eastAsia="仿宋" w:cs="Times New Roman"/>
                <w:color w:val="auto"/>
                <w:szCs w:val="21"/>
              </w:rPr>
              <w:t>主材可选择</w:t>
            </w:r>
            <w:r>
              <w:rPr>
                <w:rFonts w:hint="eastAsia" w:ascii="仿宋" w:hAnsi="仿宋" w:eastAsia="仿宋" w:cs="Times New Roman"/>
                <w:color w:val="auto"/>
                <w:szCs w:val="21"/>
                <w:lang w:val="en-US" w:eastAsia="zh-CN"/>
              </w:rPr>
              <w:t>铁力木、柚木、樱桃木</w:t>
            </w:r>
            <w:r>
              <w:rPr>
                <w:rFonts w:hint="eastAsia" w:ascii="仿宋" w:hAnsi="仿宋" w:eastAsia="仿宋" w:cs="Times New Roman"/>
                <w:color w:val="auto"/>
                <w:szCs w:val="21"/>
              </w:rPr>
              <w:t>，</w:t>
            </w:r>
            <w:r>
              <w:rPr>
                <w:rFonts w:hint="eastAsia" w:ascii="仿宋" w:hAnsi="仿宋" w:eastAsia="仿宋" w:cs="Times New Roman"/>
                <w:color w:val="auto"/>
                <w:szCs w:val="21"/>
              </w:rPr>
              <w:t>辅材用樟木、松木等制作。或依据当地工匠造船传统选用其他稳定耐用、不易形变的天然木料。禁用不符合时代要求的塑料等现代工业用材。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3"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帆装</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涂装</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彩绘</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属具</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tcPr>
          <w:p>
            <w:pPr>
              <w:rPr>
                <w:rFonts w:hint="eastAsia" w:ascii="仿宋" w:hAnsi="仿宋" w:eastAsia="仿宋" w:cs="Times New Roman"/>
                <w:color w:val="auto"/>
                <w:szCs w:val="21"/>
              </w:rPr>
            </w:pPr>
            <w:r>
              <w:rPr>
                <w:rFonts w:hint="eastAsia" w:ascii="仿宋" w:hAnsi="仿宋" w:eastAsia="仿宋" w:cs="Times New Roman"/>
                <w:color w:val="auto"/>
                <w:szCs w:val="21"/>
              </w:rPr>
              <w:t>船体细部结构清晰。</w:t>
            </w:r>
          </w:p>
          <w:p>
            <w:pPr>
              <w:rPr>
                <w:rFonts w:hint="eastAsia" w:ascii="仿宋" w:hAnsi="仿宋" w:eastAsia="仿宋" w:cs="Times New Roman"/>
                <w:color w:val="auto"/>
                <w:szCs w:val="21"/>
              </w:rPr>
            </w:pPr>
            <w:r>
              <w:rPr>
                <w:rFonts w:ascii="仿宋" w:hAnsi="仿宋" w:eastAsia="仿宋" w:cs="Times New Roman"/>
                <w:color w:val="auto"/>
                <w:szCs w:val="21"/>
              </w:rPr>
              <w:t>1、</w:t>
            </w:r>
            <w:r>
              <w:rPr>
                <w:rFonts w:hint="eastAsia" w:ascii="仿宋" w:hAnsi="仿宋" w:eastAsia="仿宋" w:cs="Times New Roman"/>
                <w:color w:val="auto"/>
                <w:szCs w:val="21"/>
              </w:rPr>
              <w:t>帆装：参考明清广船帆装。</w:t>
            </w:r>
          </w:p>
          <w:p>
            <w:pPr>
              <w:rPr>
                <w:rFonts w:hint="eastAsia" w:ascii="仿宋" w:hAnsi="仿宋" w:eastAsia="仿宋" w:cs="Times New Roman"/>
                <w:color w:val="auto"/>
                <w:szCs w:val="21"/>
              </w:rPr>
            </w:pPr>
            <w:r>
              <w:rPr>
                <w:rFonts w:ascii="仿宋" w:hAnsi="仿宋" w:eastAsia="仿宋" w:cs="Times New Roman"/>
                <w:color w:val="auto"/>
                <w:szCs w:val="21"/>
              </w:rPr>
              <w:t>2、</w:t>
            </w:r>
            <w:r>
              <w:rPr>
                <w:rFonts w:hint="eastAsia" w:ascii="仿宋" w:hAnsi="仿宋" w:eastAsia="仿宋" w:cs="Times New Roman"/>
                <w:color w:val="auto"/>
                <w:szCs w:val="21"/>
              </w:rPr>
              <w:t>涂装：采用木蜡油进行涂装和木材封护。</w:t>
            </w:r>
          </w:p>
          <w:p>
            <w:pPr>
              <w:rPr>
                <w:rFonts w:hint="eastAsia" w:ascii="仿宋" w:hAnsi="仿宋" w:eastAsia="仿宋" w:cs="Times New Roman"/>
                <w:color w:val="auto"/>
                <w:szCs w:val="21"/>
              </w:rPr>
            </w:pPr>
            <w:r>
              <w:rPr>
                <w:rFonts w:ascii="仿宋" w:hAnsi="仿宋" w:eastAsia="仿宋" w:cs="Times New Roman"/>
                <w:color w:val="auto"/>
                <w:szCs w:val="21"/>
              </w:rPr>
              <w:t>3、</w:t>
            </w:r>
            <w:r>
              <w:rPr>
                <w:rFonts w:hint="eastAsia" w:ascii="仿宋" w:hAnsi="仿宋" w:eastAsia="仿宋" w:cs="Times New Roman"/>
                <w:color w:val="auto"/>
                <w:szCs w:val="21"/>
              </w:rPr>
              <w:t>彩绘：参考明清时期广船图案进行彩绘。</w:t>
            </w:r>
          </w:p>
          <w:p>
            <w:pPr>
              <w:rPr>
                <w:rFonts w:hint="eastAsia" w:ascii="仿宋" w:hAnsi="仿宋" w:eastAsia="仿宋" w:cs="Times New Roman"/>
                <w:color w:val="auto"/>
                <w:szCs w:val="21"/>
              </w:rPr>
            </w:pPr>
            <w:r>
              <w:rPr>
                <w:rFonts w:ascii="仿宋" w:hAnsi="仿宋" w:eastAsia="仿宋" w:cs="Times New Roman"/>
                <w:color w:val="auto"/>
                <w:szCs w:val="21"/>
              </w:rPr>
              <w:t>4、</w:t>
            </w:r>
            <w:r>
              <w:rPr>
                <w:rFonts w:hint="eastAsia" w:ascii="仿宋" w:hAnsi="仿宋" w:eastAsia="仿宋" w:cs="Times New Roman"/>
                <w:color w:val="auto"/>
                <w:szCs w:val="21"/>
              </w:rPr>
              <w:t>属具：属具配备上不使用化纤等不符合时代要求的现代制品。</w:t>
            </w:r>
          </w:p>
        </w:tc>
      </w:tr>
    </w:tbl>
    <w:p>
      <w:pPr>
        <w:rPr>
          <w:rFonts w:ascii="Calibri" w:hAnsi="Calibri"/>
          <w:color w:val="auto"/>
          <w:szCs w:val="24"/>
        </w:rPr>
      </w:pPr>
    </w:p>
    <w:tbl>
      <w:tblPr>
        <w:tblStyle w:val="12"/>
        <w:tblW w:w="8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6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01"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 w:val="28"/>
                <w:szCs w:val="28"/>
              </w:rPr>
              <w:t>项目3：</w:t>
            </w:r>
            <w:bookmarkStart w:id="68" w:name="OLE_LINK6"/>
            <w:r>
              <w:rPr>
                <w:rFonts w:hint="eastAsia" w:ascii="仿宋_GB2312" w:hAnsi="宋体" w:eastAsia="仿宋_GB2312" w:cs="Times New Roman"/>
                <w:color w:val="auto"/>
                <w:sz w:val="28"/>
                <w:szCs w:val="28"/>
              </w:rPr>
              <w:t>黑石号</w:t>
            </w:r>
            <w:bookmarkEnd w:id="68"/>
            <w:r>
              <w:rPr>
                <w:rFonts w:hint="eastAsia" w:ascii="仿宋_GB2312" w:hAnsi="宋体" w:eastAsia="仿宋_GB2312" w:cs="Times New Roman"/>
                <w:color w:val="auto"/>
                <w:sz w:val="28"/>
                <w:szCs w:val="28"/>
              </w:rPr>
              <w:t>模型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尺寸</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工艺</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tcPr>
          <w:p>
            <w:pPr>
              <w:jc w:val="left"/>
              <w:rPr>
                <w:rFonts w:hint="eastAsia" w:ascii="仿宋" w:hAnsi="仿宋" w:eastAsia="仿宋" w:cs="Times New Roman"/>
                <w:color w:val="auto"/>
                <w:szCs w:val="21"/>
              </w:rPr>
            </w:pPr>
            <w:r>
              <w:rPr>
                <w:rFonts w:hint="eastAsia" w:ascii="仿宋" w:hAnsi="仿宋" w:eastAsia="仿宋" w:cs="Times New Roman"/>
                <w:color w:val="auto"/>
                <w:szCs w:val="21"/>
              </w:rPr>
              <w:t>模型全长1.6米左右。船体构件细部与衔接清晰准确，比例科学准确。</w:t>
            </w:r>
          </w:p>
          <w:p>
            <w:pPr>
              <w:rPr>
                <w:rFonts w:hint="eastAsia" w:ascii="仿宋" w:hAnsi="仿宋" w:eastAsia="仿宋" w:cs="Times New Roman"/>
                <w:color w:val="auto"/>
                <w:szCs w:val="21"/>
              </w:rPr>
            </w:pPr>
            <w:r>
              <w:rPr>
                <w:rFonts w:hint="eastAsia" w:ascii="仿宋" w:hAnsi="仿宋" w:eastAsia="仿宋" w:cs="Times New Roman"/>
                <w:color w:val="auto"/>
                <w:szCs w:val="21"/>
              </w:rPr>
              <w:t>备注：参考黑石号沉船考古发现及历史文献资料所记阿拉伯</w:t>
            </w:r>
            <w:r>
              <w:rPr>
                <w:rFonts w:ascii="仿宋" w:hAnsi="仿宋" w:eastAsia="仿宋" w:cs="Times New Roman"/>
                <w:color w:val="auto"/>
                <w:szCs w:val="21"/>
              </w:rPr>
              <w:t>缝合商船</w:t>
            </w:r>
            <w:r>
              <w:rPr>
                <w:rFonts w:hint="eastAsia" w:ascii="仿宋" w:hAnsi="仿宋" w:eastAsia="仿宋" w:cs="Times New Roman"/>
                <w:color w:val="auto"/>
                <w:szCs w:val="21"/>
              </w:rPr>
              <w:t>进行复原，等比例缩放制作而成。船体结构及外观特征要体现缝合技艺，模型需科学严谨，避免出现与原船时代背景相悖的臆造成分。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参考图</w:t>
            </w:r>
          </w:p>
        </w:tc>
        <w:tc>
          <w:tcPr>
            <w:tcW w:w="6823" w:type="dxa"/>
            <w:tcBorders>
              <w:top w:val="single" w:color="auto" w:sz="4" w:space="0"/>
              <w:left w:val="single" w:color="auto" w:sz="4" w:space="0"/>
              <w:bottom w:val="single" w:color="auto" w:sz="4" w:space="0"/>
              <w:right w:val="single" w:color="auto" w:sz="4" w:space="0"/>
            </w:tcBorders>
            <w:noWrap/>
          </w:tcPr>
          <w:p>
            <w:pPr>
              <w:jc w:val="center"/>
              <w:rPr>
                <w:rFonts w:hint="eastAsia" w:ascii="仿宋" w:hAnsi="仿宋" w:eastAsia="仿宋" w:cs="Times New Roman"/>
                <w:color w:val="auto"/>
                <w:szCs w:val="21"/>
              </w:rPr>
            </w:pPr>
            <w:r>
              <w:rPr>
                <w:rFonts w:hint="eastAsia" w:ascii="仿宋" w:hAnsi="仿宋" w:eastAsia="仿宋" w:cs="Times New Roman"/>
                <w:color w:val="auto"/>
                <w:szCs w:val="21"/>
              </w:rPr>
              <w:drawing>
                <wp:inline distT="0" distB="0" distL="114300" distR="114300">
                  <wp:extent cx="2533650" cy="1847850"/>
                  <wp:effectExtent l="0" t="0" r="0" b="0"/>
                  <wp:docPr id="2" name="图片 2" descr="888ecf451a3a2ced5cf975e38af48d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88ecf451a3a2ced5cf975e38af48d83"/>
                          <pic:cNvPicPr>
                            <a:picLocks noChangeAspect="1"/>
                          </pic:cNvPicPr>
                        </pic:nvPicPr>
                        <pic:blipFill>
                          <a:blip r:embed="rId5"/>
                          <a:srcRect t="26575" b="18740"/>
                          <a:stretch>
                            <a:fillRect/>
                          </a:stretch>
                        </pic:blipFill>
                        <pic:spPr>
                          <a:xfrm>
                            <a:off x="0" y="0"/>
                            <a:ext cx="2533650" cy="1847850"/>
                          </a:xfrm>
                          <a:prstGeom prst="rect">
                            <a:avLst/>
                          </a:prstGeom>
                        </pic:spPr>
                      </pic:pic>
                    </a:graphicData>
                  </a:graphic>
                </wp:inline>
              </w:drawing>
            </w:r>
          </w:p>
          <w:p>
            <w:pPr>
              <w:jc w:val="center"/>
              <w:rPr>
                <w:rFonts w:hint="eastAsia" w:ascii="仿宋" w:hAnsi="仿宋" w:eastAsia="仿宋" w:cs="Times New Roman"/>
                <w:color w:val="auto"/>
                <w:szCs w:val="21"/>
              </w:rPr>
            </w:pPr>
            <w:r>
              <w:rPr>
                <w:rFonts w:hint="eastAsia" w:ascii="仿宋" w:hAnsi="仿宋" w:eastAsia="仿宋" w:cs="Times New Roman"/>
                <w:color w:val="auto"/>
                <w:szCs w:val="21"/>
              </w:rPr>
              <w:t>长沙铜官窑博物馆黑石号沉船1：1复原模型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船模</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主材</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vAlign w:val="center"/>
          </w:tcPr>
          <w:p>
            <w:pPr>
              <w:jc w:val="left"/>
              <w:rPr>
                <w:rFonts w:hint="eastAsia" w:ascii="仿宋_GB2312" w:hAnsi="宋体" w:eastAsia="仿宋_GB2312" w:cs="Times New Roman"/>
                <w:color w:val="auto"/>
                <w:szCs w:val="21"/>
              </w:rPr>
            </w:pPr>
            <w:r>
              <w:rPr>
                <w:rFonts w:hint="eastAsia" w:ascii="仿宋" w:hAnsi="仿宋" w:eastAsia="仿宋" w:cs="Times New Roman"/>
                <w:color w:val="auto"/>
                <w:szCs w:val="21"/>
              </w:rPr>
              <w:t>参考考古发掘及历史文献复原结果，选取</w:t>
            </w:r>
            <w:r>
              <w:rPr>
                <w:rFonts w:hint="eastAsia" w:ascii="仿宋" w:hAnsi="仿宋" w:eastAsia="仿宋" w:cs="Times New Roman"/>
                <w:color w:val="auto"/>
                <w:szCs w:val="21"/>
                <w:lang w:val="en-US" w:eastAsia="zh-CN"/>
              </w:rPr>
              <w:t>与原船一致的</w:t>
            </w:r>
            <w:r>
              <w:rPr>
                <w:rFonts w:hint="eastAsia" w:ascii="仿宋" w:hAnsi="仿宋" w:eastAsia="仿宋" w:cs="Times New Roman"/>
                <w:color w:val="auto"/>
                <w:szCs w:val="21"/>
              </w:rPr>
              <w:t>稳定耐用、不易形变的天然木料。禁用不符合时代要求的塑料等现代工业用材。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3"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帆装</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涂装</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彩绘</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属具</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tcPr>
          <w:p>
            <w:pPr>
              <w:rPr>
                <w:rFonts w:hint="eastAsia" w:ascii="仿宋" w:hAnsi="仿宋" w:eastAsia="仿宋" w:cs="Times New Roman"/>
                <w:color w:val="auto"/>
                <w:szCs w:val="21"/>
              </w:rPr>
            </w:pPr>
            <w:r>
              <w:rPr>
                <w:rFonts w:hint="eastAsia" w:ascii="仿宋" w:hAnsi="仿宋" w:eastAsia="仿宋" w:cs="Times New Roman"/>
                <w:color w:val="auto"/>
                <w:szCs w:val="21"/>
              </w:rPr>
              <w:t>船体细部结构清晰。</w:t>
            </w:r>
          </w:p>
          <w:p>
            <w:pPr>
              <w:rPr>
                <w:rFonts w:hint="eastAsia" w:ascii="仿宋" w:hAnsi="仿宋" w:eastAsia="仿宋" w:cs="Times New Roman"/>
                <w:color w:val="auto"/>
                <w:szCs w:val="21"/>
              </w:rPr>
            </w:pPr>
            <w:r>
              <w:rPr>
                <w:rFonts w:ascii="仿宋" w:hAnsi="仿宋" w:eastAsia="仿宋" w:cs="Times New Roman"/>
                <w:color w:val="auto"/>
                <w:szCs w:val="21"/>
              </w:rPr>
              <w:t>1、</w:t>
            </w:r>
            <w:r>
              <w:rPr>
                <w:rFonts w:hint="eastAsia" w:ascii="仿宋" w:hAnsi="仿宋" w:eastAsia="仿宋" w:cs="Times New Roman"/>
                <w:color w:val="auto"/>
                <w:szCs w:val="21"/>
              </w:rPr>
              <w:t>帆装：依照考古发掘及历史文献进行合理复原。</w:t>
            </w:r>
          </w:p>
          <w:p>
            <w:pPr>
              <w:rPr>
                <w:rFonts w:hint="eastAsia" w:ascii="仿宋" w:hAnsi="仿宋" w:eastAsia="仿宋" w:cs="Times New Roman"/>
                <w:color w:val="auto"/>
                <w:szCs w:val="21"/>
              </w:rPr>
            </w:pPr>
            <w:r>
              <w:rPr>
                <w:rFonts w:ascii="仿宋" w:hAnsi="仿宋" w:eastAsia="仿宋" w:cs="Times New Roman"/>
                <w:color w:val="auto"/>
                <w:szCs w:val="21"/>
              </w:rPr>
              <w:t>2、</w:t>
            </w:r>
            <w:r>
              <w:rPr>
                <w:rFonts w:hint="eastAsia" w:ascii="仿宋" w:hAnsi="仿宋" w:eastAsia="仿宋" w:cs="Times New Roman"/>
                <w:color w:val="auto"/>
                <w:szCs w:val="21"/>
              </w:rPr>
              <w:t>涂装：吃水部为白色涂装；</w:t>
            </w:r>
            <w:r>
              <w:rPr>
                <w:rFonts w:ascii="仿宋" w:hAnsi="仿宋" w:eastAsia="仿宋"/>
                <w:color w:val="auto"/>
                <w:szCs w:val="24"/>
              </w:rPr>
              <w:t>干舷为木质原色</w:t>
            </w:r>
            <w:r>
              <w:rPr>
                <w:rFonts w:hint="eastAsia" w:ascii="仿宋" w:hAnsi="仿宋" w:eastAsia="仿宋"/>
                <w:color w:val="auto"/>
                <w:szCs w:val="24"/>
              </w:rPr>
              <w:t>。</w:t>
            </w:r>
          </w:p>
          <w:p>
            <w:pPr>
              <w:rPr>
                <w:rFonts w:hint="eastAsia" w:ascii="仿宋" w:hAnsi="仿宋" w:eastAsia="仿宋" w:cs="Times New Roman"/>
                <w:color w:val="auto"/>
                <w:szCs w:val="21"/>
              </w:rPr>
            </w:pPr>
            <w:r>
              <w:rPr>
                <w:rFonts w:ascii="仿宋" w:hAnsi="仿宋" w:eastAsia="仿宋" w:cs="Times New Roman"/>
                <w:color w:val="auto"/>
                <w:szCs w:val="21"/>
              </w:rPr>
              <w:t>3、</w:t>
            </w:r>
            <w:r>
              <w:rPr>
                <w:rFonts w:hint="eastAsia" w:ascii="仿宋" w:hAnsi="仿宋" w:eastAsia="仿宋" w:cs="Times New Roman"/>
                <w:color w:val="auto"/>
                <w:szCs w:val="21"/>
              </w:rPr>
              <w:t>彩绘：无。</w:t>
            </w:r>
          </w:p>
          <w:p>
            <w:pPr>
              <w:rPr>
                <w:rFonts w:hint="eastAsia" w:ascii="仿宋" w:hAnsi="仿宋" w:eastAsia="仿宋" w:cs="Times New Roman"/>
                <w:color w:val="auto"/>
                <w:szCs w:val="21"/>
              </w:rPr>
            </w:pPr>
            <w:r>
              <w:rPr>
                <w:rFonts w:ascii="仿宋" w:hAnsi="仿宋" w:eastAsia="仿宋" w:cs="Times New Roman"/>
                <w:color w:val="auto"/>
                <w:szCs w:val="21"/>
              </w:rPr>
              <w:t>4、</w:t>
            </w:r>
            <w:r>
              <w:rPr>
                <w:rFonts w:hint="eastAsia" w:ascii="仿宋" w:hAnsi="仿宋" w:eastAsia="仿宋" w:cs="Times New Roman"/>
                <w:color w:val="auto"/>
                <w:szCs w:val="21"/>
              </w:rPr>
              <w:t>属具：属具配备上不使用化纤等不符合时代要求的现代制品。</w:t>
            </w:r>
          </w:p>
        </w:tc>
      </w:tr>
    </w:tbl>
    <w:p>
      <w:pPr>
        <w:rPr>
          <w:rFonts w:ascii="Calibri" w:hAnsi="Calibri"/>
          <w:color w:val="auto"/>
          <w:szCs w:val="24"/>
        </w:rPr>
      </w:pPr>
    </w:p>
    <w:tbl>
      <w:tblPr>
        <w:tblStyle w:val="12"/>
        <w:tblW w:w="8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7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160" w:type="dxa"/>
            <w:gridSpan w:val="2"/>
            <w:noWrap/>
            <w:vAlign w:val="center"/>
          </w:tcPr>
          <w:p>
            <w:pPr>
              <w:jc w:val="center"/>
              <w:rPr>
                <w:rFonts w:hint="eastAsia" w:ascii="仿宋" w:hAnsi="仿宋" w:eastAsia="仿宋" w:cs="Times New Roman"/>
                <w:color w:val="auto"/>
                <w:szCs w:val="21"/>
              </w:rPr>
            </w:pPr>
            <w:r>
              <w:rPr>
                <w:rFonts w:hint="eastAsia" w:ascii="仿宋_GB2312" w:hAnsi="仿宋_GB2312" w:eastAsia="仿宋_GB2312" w:cs="仿宋_GB2312"/>
                <w:color w:val="auto"/>
                <w:sz w:val="28"/>
                <w:szCs w:val="28"/>
              </w:rPr>
              <w:t>项目4：</w:t>
            </w:r>
            <w:r>
              <w:rPr>
                <w:rFonts w:hint="eastAsia" w:ascii="仿宋_GB2312" w:hAnsi="宋体" w:eastAsia="仿宋_GB2312" w:cs="Times New Roman"/>
                <w:color w:val="auto"/>
                <w:sz w:val="28"/>
                <w:szCs w:val="28"/>
              </w:rPr>
              <w:t>哥德堡号沉船模型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1008" w:type="dxa"/>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尺寸</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工艺</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52" w:type="dxa"/>
          </w:tcPr>
          <w:p>
            <w:pPr>
              <w:jc w:val="left"/>
              <w:rPr>
                <w:rFonts w:hint="eastAsia" w:ascii="仿宋" w:hAnsi="仿宋" w:eastAsia="仿宋" w:cs="Times New Roman"/>
                <w:color w:val="auto"/>
                <w:szCs w:val="21"/>
              </w:rPr>
            </w:pPr>
            <w:r>
              <w:rPr>
                <w:rFonts w:hint="eastAsia" w:ascii="仿宋" w:hAnsi="仿宋" w:eastAsia="仿宋" w:cs="Times New Roman"/>
                <w:color w:val="auto"/>
                <w:szCs w:val="21"/>
              </w:rPr>
              <w:t>模型全长1.8米左右。船体构件细部与衔接清晰准确，比例科学准确。</w:t>
            </w:r>
          </w:p>
          <w:p>
            <w:pPr>
              <w:rPr>
                <w:rFonts w:hint="eastAsia" w:ascii="仿宋" w:hAnsi="仿宋" w:eastAsia="仿宋" w:cs="Times New Roman"/>
                <w:color w:val="auto"/>
                <w:szCs w:val="21"/>
              </w:rPr>
            </w:pPr>
            <w:r>
              <w:rPr>
                <w:rFonts w:hint="eastAsia" w:ascii="仿宋" w:hAnsi="仿宋" w:eastAsia="仿宋" w:cs="Times New Roman"/>
                <w:color w:val="auto"/>
                <w:szCs w:val="21"/>
              </w:rPr>
              <w:t>备注：哥德堡号沉船系18世纪瑞典东印度公司的贸易船，1984年瑞典对其进行了水下考古发掘。该模型需参考考古发现，准确还原哥德堡号外观风貌。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1008" w:type="dxa"/>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参考图</w:t>
            </w:r>
          </w:p>
        </w:tc>
        <w:tc>
          <w:tcPr>
            <w:tcW w:w="7152" w:type="dxa"/>
          </w:tcPr>
          <w:p>
            <w:pPr>
              <w:jc w:val="center"/>
              <w:rPr>
                <w:rFonts w:hint="eastAsia" w:ascii="仿宋" w:hAnsi="仿宋" w:eastAsia="仿宋" w:cs="Times New Roman"/>
                <w:color w:val="auto"/>
                <w:szCs w:val="21"/>
              </w:rPr>
            </w:pPr>
          </w:p>
          <w:p>
            <w:pPr>
              <w:jc w:val="center"/>
              <w:rPr>
                <w:rFonts w:hint="eastAsia" w:ascii="仿宋" w:hAnsi="仿宋" w:eastAsia="仿宋" w:cs="Times New Roman"/>
                <w:color w:val="auto"/>
                <w:szCs w:val="21"/>
              </w:rPr>
            </w:pPr>
          </w:p>
          <w:p>
            <w:pPr>
              <w:jc w:val="center"/>
              <w:rPr>
                <w:rFonts w:hint="eastAsia" w:ascii="仿宋" w:hAnsi="仿宋" w:eastAsia="仿宋" w:cs="Times New Roman"/>
                <w:color w:val="auto"/>
                <w:szCs w:val="21"/>
              </w:rPr>
            </w:pPr>
            <w:r>
              <w:rPr>
                <w:rFonts w:hint="eastAsia" w:ascii="仿宋" w:hAnsi="仿宋" w:eastAsia="仿宋" w:cs="Times New Roman"/>
                <w:color w:val="auto"/>
                <w:szCs w:val="21"/>
              </w:rPr>
              <w:drawing>
                <wp:inline distT="0" distB="0" distL="114300" distR="114300">
                  <wp:extent cx="1990725" cy="1739900"/>
                  <wp:effectExtent l="0" t="0" r="12700" b="9525"/>
                  <wp:docPr id="4" name="图片 4" descr="76942a2d26e667886b606d6a4fb82d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76942a2d26e667886b606d6a4fb82dc2"/>
                          <pic:cNvPicPr>
                            <a:picLocks noChangeAspect="1"/>
                          </pic:cNvPicPr>
                        </pic:nvPicPr>
                        <pic:blipFill>
                          <a:blip r:embed="rId6"/>
                          <a:srcRect r="14127"/>
                          <a:stretch>
                            <a:fillRect/>
                          </a:stretch>
                        </pic:blipFill>
                        <pic:spPr>
                          <a:xfrm rot="5400000">
                            <a:off x="0" y="0"/>
                            <a:ext cx="1990725" cy="1739900"/>
                          </a:xfrm>
                          <a:prstGeom prst="rect">
                            <a:avLst/>
                          </a:prstGeom>
                        </pic:spPr>
                      </pic:pic>
                    </a:graphicData>
                  </a:graphic>
                </wp:inline>
              </w:drawing>
            </w:r>
          </w:p>
          <w:p>
            <w:pPr>
              <w:jc w:val="center"/>
              <w:rPr>
                <w:rFonts w:hint="eastAsia" w:ascii="仿宋" w:hAnsi="仿宋" w:eastAsia="仿宋" w:cs="Times New Roman"/>
                <w:color w:val="auto"/>
                <w:szCs w:val="21"/>
              </w:rPr>
            </w:pPr>
          </w:p>
          <w:p>
            <w:pPr>
              <w:jc w:val="center"/>
              <w:rPr>
                <w:rFonts w:hint="eastAsia" w:ascii="仿宋" w:hAnsi="仿宋" w:eastAsia="仿宋" w:cs="Times New Roman"/>
                <w:color w:val="auto"/>
                <w:szCs w:val="21"/>
              </w:rPr>
            </w:pPr>
            <w:r>
              <w:rPr>
                <w:rFonts w:hint="eastAsia" w:ascii="仿宋" w:hAnsi="仿宋" w:eastAsia="仿宋" w:cs="Times New Roman"/>
                <w:color w:val="auto"/>
                <w:szCs w:val="21"/>
              </w:rPr>
              <w:t>广州十三行博物馆藏哥德堡号沉船模型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jc w:val="center"/>
        </w:trPr>
        <w:tc>
          <w:tcPr>
            <w:tcW w:w="1008" w:type="dxa"/>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船</w:t>
            </w:r>
            <w:r>
              <w:rPr>
                <w:rFonts w:hint="eastAsia" w:ascii="Calibri" w:hAnsi="Calibri" w:eastAsia="仿宋_GB2312" w:cs="Calibri"/>
                <w:color w:val="auto"/>
                <w:szCs w:val="21"/>
              </w:rPr>
              <w:t>模</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主材</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52" w:type="dxa"/>
            <w:vAlign w:val="center"/>
          </w:tcPr>
          <w:p>
            <w:pPr>
              <w:rPr>
                <w:rFonts w:hint="eastAsia" w:ascii="仿宋_GB2312" w:hAnsi="宋体" w:eastAsia="仿宋_GB2312" w:cs="Times New Roman"/>
                <w:color w:val="auto"/>
                <w:szCs w:val="21"/>
              </w:rPr>
            </w:pPr>
            <w:r>
              <w:rPr>
                <w:rFonts w:hint="eastAsia" w:ascii="仿宋" w:hAnsi="仿宋" w:eastAsia="仿宋" w:cs="Times New Roman"/>
                <w:color w:val="auto"/>
                <w:szCs w:val="21"/>
              </w:rPr>
              <w:t>参考考古发现及文献资料，选取</w:t>
            </w:r>
            <w:r>
              <w:rPr>
                <w:rFonts w:hint="eastAsia" w:ascii="仿宋" w:hAnsi="仿宋" w:eastAsia="仿宋" w:cs="Times New Roman"/>
                <w:color w:val="auto"/>
                <w:szCs w:val="21"/>
                <w:lang w:val="en-US" w:eastAsia="zh-CN"/>
              </w:rPr>
              <w:t>与原船一致的</w:t>
            </w:r>
            <w:r>
              <w:rPr>
                <w:rFonts w:hint="eastAsia" w:ascii="仿宋" w:hAnsi="仿宋" w:eastAsia="仿宋" w:cs="Times New Roman"/>
                <w:color w:val="auto"/>
                <w:szCs w:val="21"/>
              </w:rPr>
              <w:t>稳定耐用、不易形变的天然木料。禁用不符合时代要求的塑料等现代工业用材。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4" w:hRule="atLeast"/>
          <w:jc w:val="center"/>
        </w:trPr>
        <w:tc>
          <w:tcPr>
            <w:tcW w:w="1008" w:type="dxa"/>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帆装</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涂装</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彩绘</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属具</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52" w:type="dxa"/>
          </w:tcPr>
          <w:p>
            <w:pPr>
              <w:rPr>
                <w:rFonts w:hint="eastAsia" w:ascii="仿宋" w:hAnsi="仿宋" w:eastAsia="仿宋" w:cs="Times New Roman"/>
                <w:color w:val="auto"/>
                <w:szCs w:val="21"/>
              </w:rPr>
            </w:pPr>
            <w:r>
              <w:rPr>
                <w:rFonts w:hint="eastAsia" w:ascii="仿宋" w:hAnsi="仿宋" w:eastAsia="仿宋" w:cs="Times New Roman"/>
                <w:color w:val="auto"/>
                <w:szCs w:val="21"/>
              </w:rPr>
              <w:t>船体细部结构清晰。</w:t>
            </w:r>
          </w:p>
          <w:p>
            <w:pPr>
              <w:rPr>
                <w:rFonts w:hint="eastAsia" w:ascii="仿宋" w:hAnsi="仿宋" w:eastAsia="仿宋" w:cs="Times New Roman"/>
                <w:color w:val="auto"/>
                <w:szCs w:val="21"/>
              </w:rPr>
            </w:pPr>
            <w:r>
              <w:rPr>
                <w:rFonts w:hint="eastAsia" w:ascii="仿宋" w:hAnsi="仿宋" w:eastAsia="仿宋" w:cs="Times New Roman"/>
                <w:color w:val="auto"/>
                <w:szCs w:val="21"/>
              </w:rPr>
              <w:t>帆装：布帆。</w:t>
            </w:r>
          </w:p>
          <w:p>
            <w:pPr>
              <w:rPr>
                <w:rFonts w:hint="eastAsia" w:ascii="仿宋" w:hAnsi="仿宋" w:eastAsia="仿宋" w:cs="Times New Roman"/>
                <w:color w:val="auto"/>
                <w:szCs w:val="21"/>
              </w:rPr>
            </w:pPr>
            <w:r>
              <w:rPr>
                <w:rFonts w:hint="eastAsia" w:ascii="仿宋" w:hAnsi="仿宋" w:eastAsia="仿宋" w:cs="Times New Roman"/>
                <w:color w:val="auto"/>
                <w:szCs w:val="21"/>
              </w:rPr>
              <w:t>涂装：</w:t>
            </w:r>
            <w:r>
              <w:rPr>
                <w:rFonts w:ascii="仿宋" w:hAnsi="仿宋" w:eastAsia="仿宋" w:cs="Times New Roman"/>
                <w:color w:val="auto"/>
                <w:szCs w:val="21"/>
              </w:rPr>
              <w:t>吃水部分为白色，吃水线至甲板线间的船体部分保持橡木材质原色，舷墙外侧为蓝色，舷墙内侧为白色。桅杆及横桁为中黄色</w:t>
            </w:r>
            <w:r>
              <w:rPr>
                <w:rFonts w:hint="eastAsia" w:ascii="仿宋" w:hAnsi="仿宋" w:eastAsia="仿宋" w:cs="Times New Roman"/>
                <w:color w:val="auto"/>
                <w:szCs w:val="21"/>
              </w:rPr>
              <w:t>。</w:t>
            </w:r>
          </w:p>
          <w:p>
            <w:pPr>
              <w:rPr>
                <w:rFonts w:hint="eastAsia" w:ascii="仿宋" w:hAnsi="仿宋" w:eastAsia="仿宋" w:cs="Times New Roman"/>
                <w:color w:val="auto"/>
                <w:szCs w:val="21"/>
              </w:rPr>
            </w:pPr>
            <w:r>
              <w:rPr>
                <w:rFonts w:hint="eastAsia" w:ascii="仿宋" w:hAnsi="仿宋" w:eastAsia="仿宋" w:cs="Times New Roman"/>
                <w:color w:val="auto"/>
                <w:szCs w:val="21"/>
              </w:rPr>
              <w:t>彩绘：依照考古发掘</w:t>
            </w:r>
            <w:bookmarkStart w:id="69" w:name="OLE_LINK7"/>
            <w:r>
              <w:rPr>
                <w:rFonts w:hint="eastAsia" w:ascii="仿宋" w:hAnsi="仿宋" w:eastAsia="仿宋" w:cs="Times New Roman"/>
                <w:color w:val="auto"/>
                <w:szCs w:val="21"/>
              </w:rPr>
              <w:t>及历史文献</w:t>
            </w:r>
            <w:bookmarkEnd w:id="69"/>
            <w:r>
              <w:rPr>
                <w:rFonts w:hint="eastAsia" w:ascii="仿宋" w:hAnsi="仿宋" w:eastAsia="仿宋" w:cs="Times New Roman"/>
                <w:color w:val="auto"/>
                <w:szCs w:val="21"/>
              </w:rPr>
              <w:t>进行复原。</w:t>
            </w:r>
          </w:p>
          <w:p>
            <w:pPr>
              <w:rPr>
                <w:rFonts w:hint="eastAsia" w:ascii="仿宋_GB2312" w:hAnsi="宋体" w:eastAsia="仿宋_GB2312" w:cs="Times New Roman"/>
                <w:color w:val="auto"/>
                <w:szCs w:val="21"/>
              </w:rPr>
            </w:pPr>
            <w:r>
              <w:rPr>
                <w:rFonts w:hint="eastAsia" w:ascii="仿宋" w:hAnsi="仿宋" w:eastAsia="仿宋" w:cs="Times New Roman"/>
                <w:color w:val="auto"/>
                <w:szCs w:val="21"/>
              </w:rPr>
              <w:t>属具：属具配备上不使用化纤等不符合时代要求的现代制品。</w:t>
            </w:r>
          </w:p>
        </w:tc>
      </w:tr>
    </w:tbl>
    <w:p>
      <w:pPr>
        <w:widowControl/>
        <w:jc w:val="left"/>
        <w:rPr>
          <w:rFonts w:ascii="仿宋_GB2312" w:hAnsi="Calibri" w:eastAsia="仿宋_GB2312" w:cs="Times New Roman"/>
          <w:color w:val="auto"/>
          <w:szCs w:val="21"/>
        </w:rPr>
      </w:pPr>
    </w:p>
    <w:tbl>
      <w:tblPr>
        <w:tblStyle w:val="12"/>
        <w:tblW w:w="8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71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178" w:type="dxa"/>
            <w:gridSpan w:val="2"/>
            <w:noWrap/>
            <w:vAlign w:val="center"/>
          </w:tcPr>
          <w:p>
            <w:pPr>
              <w:jc w:val="center"/>
              <w:rPr>
                <w:rFonts w:hint="eastAsia" w:ascii="仿宋" w:hAnsi="仿宋" w:eastAsia="仿宋" w:cs="Times New Roman"/>
                <w:color w:val="auto"/>
                <w:szCs w:val="21"/>
              </w:rPr>
            </w:pPr>
            <w:r>
              <w:rPr>
                <w:rFonts w:hint="eastAsia" w:ascii="仿宋_GB2312" w:hAnsi="仿宋_GB2312" w:eastAsia="仿宋_GB2312" w:cs="仿宋_GB2312"/>
                <w:color w:val="auto"/>
                <w:sz w:val="28"/>
                <w:szCs w:val="28"/>
              </w:rPr>
              <w:t>项目5：</w:t>
            </w:r>
            <w:r>
              <w:rPr>
                <w:rFonts w:hint="eastAsia" w:ascii="仿宋_GB2312" w:hAnsi="宋体" w:eastAsia="仿宋_GB2312" w:cs="Times New Roman"/>
                <w:color w:val="auto"/>
                <w:sz w:val="28"/>
                <w:szCs w:val="28"/>
              </w:rPr>
              <w:t>圣·迭戈号沉船模型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020" w:type="dxa"/>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尺寸</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工艺</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58" w:type="dxa"/>
          </w:tcPr>
          <w:p>
            <w:pPr>
              <w:rPr>
                <w:rFonts w:hint="eastAsia" w:ascii="仿宋" w:hAnsi="仿宋" w:eastAsia="仿宋" w:cs="Times New Roman"/>
                <w:color w:val="auto"/>
                <w:szCs w:val="21"/>
              </w:rPr>
            </w:pPr>
            <w:r>
              <w:rPr>
                <w:rFonts w:hint="eastAsia" w:ascii="仿宋" w:hAnsi="仿宋" w:eastAsia="仿宋" w:cs="Times New Roman"/>
                <w:color w:val="auto"/>
                <w:szCs w:val="21"/>
              </w:rPr>
              <w:t>模型全长1.6米左右。船体构件细部与衔接清晰准确，比例科学准确。</w:t>
            </w:r>
          </w:p>
          <w:p>
            <w:pPr>
              <w:rPr>
                <w:rFonts w:hint="eastAsia" w:ascii="仿宋" w:hAnsi="仿宋" w:eastAsia="仿宋" w:cs="Times New Roman"/>
                <w:color w:val="auto"/>
                <w:szCs w:val="21"/>
              </w:rPr>
            </w:pPr>
            <w:r>
              <w:rPr>
                <w:rFonts w:hint="eastAsia" w:ascii="仿宋" w:hAnsi="仿宋" w:eastAsia="仿宋" w:cs="Times New Roman"/>
                <w:color w:val="auto"/>
                <w:szCs w:val="21"/>
              </w:rPr>
              <w:t>备注：</w:t>
            </w:r>
            <w:bookmarkStart w:id="70" w:name="OLE_LINK1"/>
            <w:r>
              <w:rPr>
                <w:rFonts w:hint="eastAsia" w:ascii="仿宋" w:hAnsi="仿宋" w:eastAsia="仿宋" w:cs="Times New Roman"/>
                <w:color w:val="auto"/>
                <w:szCs w:val="21"/>
              </w:rPr>
              <w:t>该模型需以菲律宾国家博物馆藏的圣·迭戈号沉船为原型</w:t>
            </w:r>
            <w:bookmarkEnd w:id="70"/>
            <w:r>
              <w:rPr>
                <w:rFonts w:hint="eastAsia" w:ascii="仿宋" w:hAnsi="仿宋" w:eastAsia="仿宋" w:cs="Times New Roman"/>
                <w:color w:val="auto"/>
                <w:szCs w:val="21"/>
              </w:rPr>
              <w:t>，参考考古发掘及文献资料，准确还原圣·迭戈号沉船的外观风貌。帆船上装饰的圆雕、浮雕应有体现，以手工精雕为优。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jc w:val="center"/>
        </w:trPr>
        <w:tc>
          <w:tcPr>
            <w:tcW w:w="1020" w:type="dxa"/>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船</w:t>
            </w:r>
            <w:r>
              <w:rPr>
                <w:rFonts w:hint="eastAsia" w:ascii="Calibri" w:hAnsi="Calibri" w:eastAsia="仿宋_GB2312" w:cs="Calibri"/>
                <w:color w:val="auto"/>
                <w:szCs w:val="21"/>
              </w:rPr>
              <w:t>模</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主材</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58" w:type="dxa"/>
            <w:vAlign w:val="center"/>
          </w:tcPr>
          <w:p>
            <w:pPr>
              <w:rPr>
                <w:rFonts w:hint="eastAsia" w:ascii="仿宋" w:hAnsi="仿宋" w:eastAsia="仿宋" w:cs="Times New Roman"/>
                <w:color w:val="auto"/>
                <w:szCs w:val="21"/>
              </w:rPr>
            </w:pPr>
            <w:r>
              <w:rPr>
                <w:rFonts w:hint="eastAsia" w:ascii="仿宋" w:hAnsi="仿宋" w:eastAsia="仿宋" w:cs="Times New Roman"/>
                <w:color w:val="auto"/>
                <w:szCs w:val="21"/>
              </w:rPr>
              <w:t>参考考古发现及文献资料，选取</w:t>
            </w:r>
            <w:r>
              <w:rPr>
                <w:rFonts w:hint="eastAsia" w:ascii="仿宋" w:hAnsi="仿宋" w:eastAsia="仿宋" w:cs="Times New Roman"/>
                <w:color w:val="auto"/>
                <w:szCs w:val="21"/>
                <w:lang w:val="en-US" w:eastAsia="zh-CN"/>
              </w:rPr>
              <w:t>与原船一致的</w:t>
            </w:r>
            <w:r>
              <w:rPr>
                <w:rFonts w:hint="eastAsia" w:ascii="仿宋" w:hAnsi="仿宋" w:eastAsia="仿宋" w:cs="Times New Roman"/>
                <w:color w:val="auto"/>
                <w:szCs w:val="21"/>
              </w:rPr>
              <w:t>稳定耐用、不易形变的天然木料。禁用不符合时代要求的塑料等现代工业用材。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1020" w:type="dxa"/>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帆装</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涂装</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彩绘</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属具</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58" w:type="dxa"/>
          </w:tcPr>
          <w:p>
            <w:pPr>
              <w:rPr>
                <w:rFonts w:hint="eastAsia" w:ascii="仿宋" w:hAnsi="仿宋" w:eastAsia="仿宋" w:cs="Times New Roman"/>
                <w:color w:val="auto"/>
                <w:szCs w:val="21"/>
              </w:rPr>
            </w:pPr>
            <w:r>
              <w:rPr>
                <w:rFonts w:hint="eastAsia" w:ascii="仿宋" w:hAnsi="仿宋" w:eastAsia="仿宋" w:cs="Times New Roman"/>
                <w:color w:val="auto"/>
                <w:szCs w:val="21"/>
              </w:rPr>
              <w:t>船体细部结构清晰。</w:t>
            </w:r>
          </w:p>
          <w:p>
            <w:pPr>
              <w:rPr>
                <w:rFonts w:hint="eastAsia" w:ascii="仿宋" w:hAnsi="仿宋" w:eastAsia="仿宋" w:cs="Times New Roman"/>
                <w:color w:val="auto"/>
                <w:szCs w:val="21"/>
              </w:rPr>
            </w:pPr>
            <w:r>
              <w:rPr>
                <w:rFonts w:hint="eastAsia" w:ascii="仿宋" w:hAnsi="仿宋" w:eastAsia="仿宋" w:cs="Times New Roman"/>
                <w:color w:val="auto"/>
                <w:szCs w:val="21"/>
              </w:rPr>
              <w:t>帆装：布帆。</w:t>
            </w:r>
          </w:p>
          <w:p>
            <w:pPr>
              <w:rPr>
                <w:rFonts w:hint="eastAsia" w:ascii="仿宋" w:hAnsi="仿宋" w:eastAsia="仿宋" w:cs="Times New Roman"/>
                <w:color w:val="auto"/>
                <w:szCs w:val="21"/>
              </w:rPr>
            </w:pPr>
            <w:r>
              <w:rPr>
                <w:rFonts w:hint="eastAsia" w:ascii="仿宋" w:hAnsi="仿宋" w:eastAsia="仿宋" w:cs="Times New Roman"/>
                <w:color w:val="auto"/>
                <w:szCs w:val="21"/>
              </w:rPr>
              <w:t>涂装：采用木蜡油进行涂装和木材封护。</w:t>
            </w:r>
          </w:p>
          <w:p>
            <w:pPr>
              <w:rPr>
                <w:rFonts w:hint="eastAsia" w:ascii="仿宋" w:hAnsi="仿宋" w:eastAsia="仿宋" w:cs="Times New Roman"/>
                <w:color w:val="auto"/>
                <w:szCs w:val="21"/>
              </w:rPr>
            </w:pPr>
            <w:r>
              <w:rPr>
                <w:rFonts w:hint="eastAsia" w:ascii="仿宋" w:hAnsi="仿宋" w:eastAsia="仿宋" w:cs="Times New Roman"/>
                <w:color w:val="auto"/>
                <w:szCs w:val="21"/>
              </w:rPr>
              <w:t>彩绘：参考原型船样式。</w:t>
            </w:r>
          </w:p>
          <w:p>
            <w:pPr>
              <w:rPr>
                <w:rFonts w:hint="eastAsia" w:ascii="仿宋_GB2312" w:hAnsi="宋体" w:eastAsia="仿宋_GB2312" w:cs="Times New Roman"/>
                <w:color w:val="auto"/>
                <w:szCs w:val="21"/>
              </w:rPr>
            </w:pPr>
            <w:r>
              <w:rPr>
                <w:rFonts w:hint="eastAsia" w:ascii="仿宋" w:hAnsi="仿宋" w:eastAsia="仿宋" w:cs="Times New Roman"/>
                <w:color w:val="auto"/>
                <w:szCs w:val="21"/>
              </w:rPr>
              <w:t>属具：</w:t>
            </w:r>
            <w:bookmarkStart w:id="71" w:name="OLE_LINK5"/>
            <w:r>
              <w:rPr>
                <w:rFonts w:hint="eastAsia" w:ascii="仿宋" w:hAnsi="仿宋" w:eastAsia="仿宋" w:cs="Times New Roman"/>
                <w:color w:val="auto"/>
                <w:szCs w:val="21"/>
              </w:rPr>
              <w:t>属具配备上不使用化纤等不符合时代要求的现代制品。</w:t>
            </w:r>
            <w:bookmarkEnd w:id="71"/>
          </w:p>
        </w:tc>
      </w:tr>
    </w:tbl>
    <w:p>
      <w:pPr>
        <w:widowControl/>
        <w:jc w:val="left"/>
        <w:rPr>
          <w:rFonts w:ascii="仿宋_GB2312" w:hAnsi="Calibri" w:eastAsia="仿宋_GB2312" w:cs="Times New Roman"/>
          <w:color w:val="auto"/>
          <w:szCs w:val="21"/>
        </w:rPr>
      </w:pPr>
    </w:p>
    <w:tbl>
      <w:tblPr>
        <w:tblStyle w:val="12"/>
        <w:tblW w:w="8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71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211" w:type="dxa"/>
            <w:gridSpan w:val="2"/>
            <w:noWrap/>
            <w:vAlign w:val="center"/>
          </w:tcPr>
          <w:p>
            <w:pPr>
              <w:jc w:val="center"/>
              <w:rPr>
                <w:rFonts w:hint="eastAsia" w:ascii="仿宋" w:hAnsi="仿宋" w:eastAsia="仿宋" w:cs="Times New Roman"/>
                <w:color w:val="auto"/>
                <w:szCs w:val="21"/>
              </w:rPr>
            </w:pPr>
            <w:r>
              <w:rPr>
                <w:rFonts w:hint="eastAsia" w:ascii="仿宋_GB2312" w:hAnsi="仿宋_GB2312" w:eastAsia="仿宋_GB2312" w:cs="仿宋_GB2312"/>
                <w:color w:val="auto"/>
                <w:sz w:val="28"/>
                <w:szCs w:val="28"/>
              </w:rPr>
              <w:t>项目6：</w:t>
            </w:r>
            <w:bookmarkStart w:id="72" w:name="OLE_LINK9"/>
            <w:r>
              <w:rPr>
                <w:rFonts w:hint="eastAsia" w:ascii="仿宋_GB2312" w:hAnsi="宋体" w:eastAsia="仿宋_GB2312" w:cs="Times New Roman"/>
                <w:color w:val="auto"/>
                <w:sz w:val="28"/>
                <w:szCs w:val="28"/>
              </w:rPr>
              <w:t>泰兴号沉船</w:t>
            </w:r>
            <w:bookmarkEnd w:id="72"/>
            <w:r>
              <w:rPr>
                <w:rFonts w:hint="eastAsia" w:ascii="仿宋_GB2312" w:hAnsi="宋体" w:eastAsia="仿宋_GB2312" w:cs="Times New Roman"/>
                <w:color w:val="auto"/>
                <w:sz w:val="28"/>
                <w:szCs w:val="28"/>
              </w:rPr>
              <w:t>模型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050" w:type="dxa"/>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尺寸</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工艺</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61" w:type="dxa"/>
          </w:tcPr>
          <w:p>
            <w:pPr>
              <w:rPr>
                <w:rFonts w:hint="eastAsia" w:ascii="仿宋" w:hAnsi="仿宋" w:eastAsia="仿宋" w:cs="Times New Roman"/>
                <w:color w:val="auto"/>
                <w:szCs w:val="21"/>
              </w:rPr>
            </w:pPr>
            <w:r>
              <w:rPr>
                <w:rFonts w:hint="eastAsia" w:ascii="仿宋" w:hAnsi="仿宋" w:eastAsia="仿宋" w:cs="Times New Roman"/>
                <w:color w:val="auto"/>
                <w:szCs w:val="21"/>
              </w:rPr>
              <w:t>模型全长1.8米左右。船体构件细部与衔接清晰准确，比例科学准确。</w:t>
            </w:r>
          </w:p>
          <w:p>
            <w:pPr>
              <w:rPr>
                <w:rFonts w:hint="eastAsia" w:ascii="仿宋" w:hAnsi="仿宋" w:eastAsia="仿宋" w:cs="Times New Roman"/>
                <w:color w:val="auto"/>
                <w:szCs w:val="21"/>
              </w:rPr>
            </w:pPr>
            <w:r>
              <w:rPr>
                <w:rFonts w:hint="eastAsia" w:ascii="仿宋" w:hAnsi="仿宋" w:eastAsia="仿宋" w:cs="Times New Roman"/>
                <w:color w:val="auto"/>
                <w:szCs w:val="21"/>
              </w:rPr>
              <w:t>备注：泰兴号沉船系清道光年间沉没于东南亚海域的一艘中国商船，船型属福船。该模型需依照泰兴号考古发现及历史文献资料，等比例进行复原建造。需遵循同时期福船建造方法，由具备实船建造经验的工匠采用手工制作，着重体现福船结构及建造工艺，甲板、舱室结构、多层板、桅底部件等需一并制作。</w:t>
            </w:r>
          </w:p>
          <w:p>
            <w:pPr>
              <w:jc w:val="center"/>
              <w:rPr>
                <w:rFonts w:hint="eastAsia" w:ascii="仿宋" w:hAnsi="仿宋" w:eastAsia="仿宋"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050" w:type="dxa"/>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参考图</w:t>
            </w:r>
          </w:p>
        </w:tc>
        <w:tc>
          <w:tcPr>
            <w:tcW w:w="7161" w:type="dxa"/>
          </w:tcPr>
          <w:p>
            <w:pPr>
              <w:jc w:val="center"/>
              <w:rPr>
                <w:rFonts w:hint="eastAsia" w:ascii="宋体" w:hAnsi="宋体" w:eastAsia="宋体" w:cs="宋体"/>
                <w:color w:val="auto"/>
                <w:sz w:val="24"/>
                <w:szCs w:val="24"/>
              </w:rPr>
            </w:pPr>
            <w:r>
              <w:rPr>
                <w:rFonts w:ascii="宋体" w:hAnsi="宋体" w:eastAsia="宋体" w:cs="宋体"/>
                <w:color w:val="auto"/>
                <w:sz w:val="24"/>
                <w:szCs w:val="24"/>
              </w:rPr>
              <w:drawing>
                <wp:inline distT="0" distB="0" distL="114300" distR="114300">
                  <wp:extent cx="2606040" cy="1471930"/>
                  <wp:effectExtent l="0" t="0" r="3810" b="1397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7"/>
                          <a:stretch>
                            <a:fillRect/>
                          </a:stretch>
                        </pic:blipFill>
                        <pic:spPr>
                          <a:xfrm>
                            <a:off x="0" y="0"/>
                            <a:ext cx="2606040" cy="1471930"/>
                          </a:xfrm>
                          <a:prstGeom prst="rect">
                            <a:avLst/>
                          </a:prstGeom>
                          <a:noFill/>
                          <a:ln w="9525">
                            <a:noFill/>
                          </a:ln>
                        </pic:spPr>
                      </pic:pic>
                    </a:graphicData>
                  </a:graphic>
                </wp:inline>
              </w:drawing>
            </w:r>
          </w:p>
          <w:p>
            <w:pPr>
              <w:jc w:val="center"/>
              <w:rPr>
                <w:rFonts w:hint="eastAsia" w:ascii="宋体" w:hAnsi="宋体" w:eastAsia="宋体" w:cs="宋体"/>
                <w:color w:val="auto"/>
                <w:sz w:val="24"/>
                <w:szCs w:val="24"/>
              </w:rPr>
            </w:pPr>
            <w:r>
              <w:rPr>
                <w:rFonts w:hint="eastAsia" w:ascii="仿宋_GB2312" w:hAnsi="仿宋_GB2312" w:eastAsia="仿宋_GB2312" w:cs="仿宋_GB2312"/>
                <w:color w:val="auto"/>
                <w:szCs w:val="21"/>
              </w:rPr>
              <w:t>上海中国航海博物馆藏泰兴号沉船模型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jc w:val="center"/>
        </w:trPr>
        <w:tc>
          <w:tcPr>
            <w:tcW w:w="1050" w:type="dxa"/>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船</w:t>
            </w:r>
            <w:r>
              <w:rPr>
                <w:rFonts w:hint="eastAsia" w:ascii="Calibri" w:hAnsi="Calibri" w:eastAsia="仿宋_GB2312" w:cs="Calibri"/>
                <w:color w:val="auto"/>
                <w:szCs w:val="21"/>
              </w:rPr>
              <w:t>模</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主材</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61" w:type="dxa"/>
            <w:vAlign w:val="center"/>
          </w:tcPr>
          <w:p>
            <w:pPr>
              <w:rPr>
                <w:rFonts w:hint="eastAsia" w:ascii="仿宋" w:hAnsi="仿宋" w:eastAsia="仿宋" w:cs="Times New Roman"/>
                <w:color w:val="auto"/>
                <w:szCs w:val="21"/>
              </w:rPr>
            </w:pPr>
            <w:r>
              <w:rPr>
                <w:rFonts w:hint="eastAsia" w:ascii="仿宋" w:hAnsi="仿宋" w:eastAsia="仿宋" w:cs="Times New Roman"/>
                <w:color w:val="auto"/>
                <w:szCs w:val="21"/>
              </w:rPr>
              <w:t>主材采用柚木，辅材采用樟木、松木等硬木制作。或依据当地工匠造船传统选用其他稳定耐用、不易形变的天然木料。禁用不符合时代要求的塑料等现代工业用材。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jc w:val="center"/>
        </w:trPr>
        <w:tc>
          <w:tcPr>
            <w:tcW w:w="1050" w:type="dxa"/>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帆装</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涂装</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彩绘</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属具</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61" w:type="dxa"/>
          </w:tcPr>
          <w:p>
            <w:pPr>
              <w:rPr>
                <w:rFonts w:hint="eastAsia" w:ascii="仿宋" w:hAnsi="仿宋" w:eastAsia="仿宋" w:cs="Times New Roman"/>
                <w:color w:val="auto"/>
                <w:szCs w:val="21"/>
              </w:rPr>
            </w:pPr>
            <w:r>
              <w:rPr>
                <w:rFonts w:hint="eastAsia" w:ascii="仿宋" w:hAnsi="仿宋" w:eastAsia="仿宋" w:cs="Times New Roman"/>
                <w:color w:val="auto"/>
                <w:szCs w:val="21"/>
              </w:rPr>
              <w:t>船体细部结构清晰。</w:t>
            </w:r>
          </w:p>
          <w:p>
            <w:pPr>
              <w:rPr>
                <w:rFonts w:hint="eastAsia" w:ascii="仿宋" w:hAnsi="仿宋" w:eastAsia="仿宋" w:cs="Times New Roman"/>
                <w:color w:val="auto"/>
                <w:szCs w:val="21"/>
              </w:rPr>
            </w:pPr>
            <w:r>
              <w:rPr>
                <w:rFonts w:hint="eastAsia" w:ascii="仿宋" w:hAnsi="仿宋" w:eastAsia="仿宋" w:cs="Times New Roman"/>
                <w:color w:val="auto"/>
                <w:szCs w:val="21"/>
              </w:rPr>
              <w:t>帆装：依照考古发掘及历史文献进行复原。</w:t>
            </w:r>
          </w:p>
          <w:p>
            <w:pPr>
              <w:rPr>
                <w:rFonts w:hint="eastAsia" w:ascii="仿宋" w:hAnsi="仿宋" w:eastAsia="仿宋" w:cs="Times New Roman"/>
                <w:color w:val="auto"/>
                <w:szCs w:val="21"/>
              </w:rPr>
            </w:pPr>
            <w:r>
              <w:rPr>
                <w:rFonts w:hint="eastAsia" w:ascii="仿宋" w:hAnsi="仿宋" w:eastAsia="仿宋" w:cs="Times New Roman"/>
                <w:color w:val="auto"/>
                <w:szCs w:val="21"/>
              </w:rPr>
              <w:t>涂装：采用白色涂装。</w:t>
            </w:r>
          </w:p>
          <w:p>
            <w:pPr>
              <w:rPr>
                <w:rFonts w:hint="eastAsia" w:ascii="仿宋" w:hAnsi="仿宋" w:eastAsia="仿宋" w:cs="Times New Roman"/>
                <w:color w:val="auto"/>
                <w:szCs w:val="21"/>
              </w:rPr>
            </w:pPr>
            <w:r>
              <w:rPr>
                <w:rFonts w:hint="eastAsia" w:ascii="仿宋" w:hAnsi="仿宋" w:eastAsia="仿宋" w:cs="Times New Roman"/>
                <w:color w:val="auto"/>
                <w:szCs w:val="21"/>
              </w:rPr>
              <w:t>彩绘：艉部参考清代同时期图案进行彩绘。</w:t>
            </w:r>
          </w:p>
          <w:p>
            <w:pPr>
              <w:rPr>
                <w:rFonts w:hint="eastAsia" w:ascii="仿宋" w:hAnsi="仿宋" w:eastAsia="仿宋" w:cs="Times New Roman"/>
                <w:color w:val="auto"/>
                <w:szCs w:val="21"/>
              </w:rPr>
            </w:pPr>
            <w:r>
              <w:rPr>
                <w:rFonts w:hint="eastAsia" w:ascii="仿宋" w:hAnsi="仿宋" w:eastAsia="仿宋" w:cs="Times New Roman"/>
                <w:color w:val="auto"/>
                <w:szCs w:val="21"/>
              </w:rPr>
              <w:t>属具：属具配备上不使用化纤等不符合时代要求的现代制品。</w:t>
            </w:r>
          </w:p>
        </w:tc>
      </w:tr>
    </w:tbl>
    <w:p>
      <w:pPr>
        <w:widowControl/>
        <w:jc w:val="left"/>
        <w:rPr>
          <w:rFonts w:ascii="仿宋_GB2312" w:hAnsi="Calibri" w:eastAsia="仿宋_GB2312" w:cs="Times New Roman"/>
          <w:color w:val="auto"/>
          <w:szCs w:val="21"/>
        </w:rPr>
      </w:pPr>
    </w:p>
    <w:tbl>
      <w:tblPr>
        <w:tblStyle w:val="12"/>
        <w:tblW w:w="8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71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211" w:type="dxa"/>
            <w:gridSpan w:val="2"/>
            <w:noWrap/>
            <w:vAlign w:val="center"/>
          </w:tcPr>
          <w:p>
            <w:pPr>
              <w:jc w:val="center"/>
              <w:rPr>
                <w:rFonts w:hint="eastAsia" w:ascii="仿宋" w:hAnsi="仿宋" w:eastAsia="仿宋_GB2312" w:cs="Times New Roman"/>
                <w:color w:val="auto"/>
                <w:szCs w:val="21"/>
                <w:lang w:val="en-US" w:eastAsia="zh-CN"/>
              </w:rPr>
            </w:pPr>
            <w:r>
              <w:rPr>
                <w:rFonts w:hint="eastAsia" w:ascii="仿宋_GB2312" w:hAnsi="仿宋_GB2312" w:eastAsia="仿宋_GB2312" w:cs="仿宋_GB2312"/>
                <w:color w:val="auto"/>
                <w:sz w:val="28"/>
                <w:szCs w:val="28"/>
              </w:rPr>
              <w:t>项目7：</w:t>
            </w:r>
            <w:r>
              <w:rPr>
                <w:rFonts w:hint="eastAsia" w:ascii="仿宋_GB2312" w:hAnsi="仿宋_GB2312" w:eastAsia="仿宋_GB2312" w:cs="仿宋_GB2312"/>
                <w:color w:val="auto"/>
                <w:sz w:val="28"/>
                <w:szCs w:val="28"/>
                <w:lang w:val="en-US" w:eastAsia="zh-CN"/>
              </w:rPr>
              <w:t>卡蒂萨克号模型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050" w:type="dxa"/>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尺寸</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工艺</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61" w:type="dxa"/>
          </w:tcPr>
          <w:p>
            <w:pPr>
              <w:rPr>
                <w:rFonts w:hint="eastAsia" w:ascii="仿宋" w:hAnsi="仿宋" w:eastAsia="仿宋" w:cs="Times New Roman"/>
                <w:color w:val="auto"/>
                <w:szCs w:val="21"/>
              </w:rPr>
            </w:pPr>
            <w:r>
              <w:rPr>
                <w:rFonts w:hint="eastAsia" w:ascii="仿宋" w:hAnsi="仿宋" w:eastAsia="仿宋" w:cs="Times New Roman"/>
                <w:color w:val="auto"/>
                <w:szCs w:val="21"/>
              </w:rPr>
              <w:t>模型全长1.6米左右。船体构件细部与衔接清晰准确，比例科学准确。</w:t>
            </w:r>
          </w:p>
          <w:p>
            <w:pPr>
              <w:rPr>
                <w:rFonts w:hint="eastAsia" w:ascii="仿宋" w:hAnsi="仿宋" w:eastAsia="仿宋" w:cs="Times New Roman"/>
                <w:color w:val="auto"/>
                <w:szCs w:val="21"/>
              </w:rPr>
            </w:pPr>
            <w:r>
              <w:rPr>
                <w:rFonts w:hint="eastAsia" w:ascii="仿宋" w:hAnsi="仿宋" w:eastAsia="仿宋" w:cs="Times New Roman"/>
                <w:color w:val="auto"/>
                <w:szCs w:val="21"/>
              </w:rPr>
              <w:t>备注：该模型需</w:t>
            </w:r>
            <w:r>
              <w:rPr>
                <w:rFonts w:hint="eastAsia" w:ascii="仿宋" w:hAnsi="仿宋" w:eastAsia="仿宋" w:cs="Times New Roman"/>
                <w:color w:val="auto"/>
                <w:szCs w:val="21"/>
                <w:lang w:val="en-US" w:eastAsia="zh-CN"/>
              </w:rPr>
              <w:t>以</w:t>
            </w:r>
            <w:r>
              <w:rPr>
                <w:rFonts w:hint="eastAsia" w:ascii="仿宋" w:hAnsi="仿宋" w:eastAsia="仿宋" w:cs="Times New Roman"/>
                <w:color w:val="auto"/>
                <w:szCs w:val="21"/>
              </w:rPr>
              <w:t>英国</w:t>
            </w:r>
            <w:r>
              <w:rPr>
                <w:rFonts w:ascii="仿宋" w:hAnsi="仿宋" w:eastAsia="仿宋" w:cs="Times New Roman"/>
                <w:color w:val="auto"/>
                <w:szCs w:val="21"/>
              </w:rPr>
              <w:t>格林威治皇家博物馆</w:t>
            </w:r>
            <w:r>
              <w:rPr>
                <w:rFonts w:hint="eastAsia" w:ascii="仿宋" w:hAnsi="仿宋" w:eastAsia="仿宋" w:cs="Times New Roman"/>
                <w:color w:val="auto"/>
                <w:szCs w:val="21"/>
              </w:rPr>
              <w:t>藏的卡蒂萨克号为原型，等比例缩小后制作，准确还原其外观风貌。</w:t>
            </w:r>
            <w:r>
              <w:rPr>
                <w:rFonts w:ascii="仿宋" w:hAnsi="仿宋" w:eastAsia="仿宋" w:cs="Times New Roman"/>
                <w:color w:val="auto"/>
                <w:szCs w:val="21"/>
              </w:rPr>
              <w:t>帆船</w:t>
            </w:r>
            <w:r>
              <w:rPr>
                <w:rFonts w:hint="eastAsia" w:ascii="仿宋" w:hAnsi="仿宋" w:eastAsia="仿宋" w:cs="Times New Roman"/>
                <w:color w:val="auto"/>
                <w:szCs w:val="21"/>
              </w:rPr>
              <w:t>上装饰的</w:t>
            </w:r>
            <w:r>
              <w:rPr>
                <w:rFonts w:ascii="仿宋" w:hAnsi="仿宋" w:eastAsia="仿宋" w:cs="Times New Roman"/>
                <w:color w:val="auto"/>
                <w:szCs w:val="21"/>
              </w:rPr>
              <w:t>圆雕、浮雕</w:t>
            </w:r>
            <w:r>
              <w:rPr>
                <w:rFonts w:hint="eastAsia" w:ascii="仿宋" w:hAnsi="仿宋" w:eastAsia="仿宋" w:cs="Times New Roman"/>
                <w:color w:val="auto"/>
                <w:szCs w:val="21"/>
              </w:rPr>
              <w:t>应有体现，以</w:t>
            </w:r>
            <w:r>
              <w:rPr>
                <w:rFonts w:ascii="仿宋" w:hAnsi="仿宋" w:eastAsia="仿宋" w:cs="Times New Roman"/>
                <w:color w:val="auto"/>
                <w:szCs w:val="21"/>
              </w:rPr>
              <w:t>手工精雕</w:t>
            </w:r>
            <w:r>
              <w:rPr>
                <w:rFonts w:hint="eastAsia" w:ascii="仿宋" w:hAnsi="仿宋" w:eastAsia="仿宋" w:cs="Times New Roman"/>
                <w:color w:val="auto"/>
                <w:szCs w:val="21"/>
              </w:rPr>
              <w:t>为优。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jc w:val="center"/>
        </w:trPr>
        <w:tc>
          <w:tcPr>
            <w:tcW w:w="1050" w:type="dxa"/>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船</w:t>
            </w:r>
            <w:r>
              <w:rPr>
                <w:rFonts w:hint="eastAsia" w:ascii="Calibri" w:hAnsi="Calibri" w:eastAsia="仿宋_GB2312" w:cs="Calibri"/>
                <w:color w:val="auto"/>
                <w:szCs w:val="21"/>
              </w:rPr>
              <w:t>模</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主材</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61" w:type="dxa"/>
            <w:vAlign w:val="center"/>
          </w:tcPr>
          <w:p>
            <w:pPr>
              <w:rPr>
                <w:rFonts w:hint="eastAsia" w:ascii="仿宋" w:hAnsi="仿宋" w:eastAsia="仿宋" w:cs="Times New Roman"/>
                <w:color w:val="auto"/>
                <w:szCs w:val="21"/>
              </w:rPr>
            </w:pPr>
            <w:r>
              <w:rPr>
                <w:rFonts w:hint="eastAsia" w:ascii="仿宋" w:hAnsi="仿宋" w:eastAsia="仿宋" w:cs="Times New Roman"/>
                <w:color w:val="auto"/>
                <w:szCs w:val="21"/>
              </w:rPr>
              <w:t>参考原船材质，选取</w:t>
            </w:r>
            <w:r>
              <w:rPr>
                <w:rFonts w:hint="eastAsia" w:ascii="仿宋" w:hAnsi="仿宋" w:eastAsia="仿宋" w:cs="Times New Roman"/>
                <w:color w:val="auto"/>
                <w:szCs w:val="21"/>
                <w:lang w:val="en-US" w:eastAsia="zh-CN"/>
              </w:rPr>
              <w:t>与原船一致的</w:t>
            </w:r>
            <w:r>
              <w:rPr>
                <w:rFonts w:hint="eastAsia" w:ascii="仿宋" w:hAnsi="仿宋" w:eastAsia="仿宋" w:cs="Times New Roman"/>
                <w:color w:val="auto"/>
                <w:szCs w:val="21"/>
              </w:rPr>
              <w:t>稳定耐用、不易形变的天然木料。禁用不符合时代要求的塑料等现代工业用材。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jc w:val="center"/>
        </w:trPr>
        <w:tc>
          <w:tcPr>
            <w:tcW w:w="1050" w:type="dxa"/>
            <w:noWrap/>
            <w:vAlign w:val="center"/>
          </w:tcPr>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帆装</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涂装</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彩绘</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属具</w:t>
            </w:r>
          </w:p>
          <w:p>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61" w:type="dxa"/>
          </w:tcPr>
          <w:p>
            <w:pPr>
              <w:rPr>
                <w:rFonts w:hint="eastAsia" w:ascii="仿宋" w:hAnsi="仿宋" w:eastAsia="仿宋" w:cs="Times New Roman"/>
                <w:color w:val="auto"/>
                <w:szCs w:val="21"/>
              </w:rPr>
            </w:pPr>
            <w:r>
              <w:rPr>
                <w:rFonts w:hint="eastAsia" w:ascii="仿宋" w:hAnsi="仿宋" w:eastAsia="仿宋" w:cs="Times New Roman"/>
                <w:color w:val="auto"/>
                <w:szCs w:val="21"/>
              </w:rPr>
              <w:t>船体细部结构清晰。</w:t>
            </w:r>
          </w:p>
          <w:p>
            <w:pPr>
              <w:rPr>
                <w:rFonts w:hint="eastAsia" w:ascii="仿宋" w:hAnsi="仿宋" w:eastAsia="仿宋" w:cs="Times New Roman"/>
                <w:color w:val="auto"/>
                <w:szCs w:val="21"/>
              </w:rPr>
            </w:pPr>
            <w:r>
              <w:rPr>
                <w:rFonts w:hint="eastAsia" w:ascii="仿宋" w:hAnsi="仿宋" w:eastAsia="仿宋" w:cs="Times New Roman"/>
                <w:color w:val="auto"/>
                <w:szCs w:val="21"/>
              </w:rPr>
              <w:t>帆装：参考原船。</w:t>
            </w:r>
          </w:p>
          <w:p>
            <w:pPr>
              <w:rPr>
                <w:rFonts w:hint="eastAsia" w:ascii="仿宋" w:hAnsi="仿宋" w:eastAsia="仿宋" w:cs="Times New Roman"/>
                <w:color w:val="auto"/>
                <w:szCs w:val="21"/>
              </w:rPr>
            </w:pPr>
            <w:r>
              <w:rPr>
                <w:rFonts w:hint="eastAsia" w:ascii="仿宋" w:hAnsi="仿宋" w:eastAsia="仿宋" w:cs="Times New Roman"/>
                <w:color w:val="auto"/>
                <w:szCs w:val="21"/>
              </w:rPr>
              <w:t>涂装：吃水部包铜皮，以上为黑色涂装，桅杆白色。</w:t>
            </w:r>
          </w:p>
          <w:p>
            <w:pPr>
              <w:rPr>
                <w:rFonts w:hint="eastAsia" w:ascii="仿宋" w:hAnsi="仿宋" w:eastAsia="仿宋" w:cs="Times New Roman"/>
                <w:color w:val="auto"/>
                <w:szCs w:val="21"/>
              </w:rPr>
            </w:pPr>
            <w:r>
              <w:rPr>
                <w:rFonts w:hint="eastAsia" w:ascii="仿宋" w:hAnsi="仿宋" w:eastAsia="仿宋" w:cs="Times New Roman"/>
                <w:color w:val="auto"/>
                <w:szCs w:val="21"/>
              </w:rPr>
              <w:t>彩绘：参考原船。</w:t>
            </w:r>
          </w:p>
          <w:p>
            <w:pPr>
              <w:rPr>
                <w:rFonts w:hint="eastAsia" w:ascii="仿宋" w:hAnsi="仿宋" w:eastAsia="仿宋" w:cs="Times New Roman"/>
                <w:color w:val="auto"/>
                <w:szCs w:val="21"/>
              </w:rPr>
            </w:pPr>
            <w:r>
              <w:rPr>
                <w:rFonts w:hint="eastAsia" w:ascii="仿宋" w:hAnsi="仿宋" w:eastAsia="仿宋" w:cs="Times New Roman"/>
                <w:color w:val="auto"/>
                <w:szCs w:val="21"/>
              </w:rPr>
              <w:t>属具：参考原船，在属具配备上不使用化纤等不符合时代要求的现代制品。</w:t>
            </w:r>
          </w:p>
        </w:tc>
      </w:tr>
    </w:tbl>
    <w:p>
      <w:pPr>
        <w:pStyle w:val="10"/>
        <w:widowControl/>
        <w:spacing w:line="360" w:lineRule="auto"/>
        <w:rPr>
          <w:rFonts w:hint="eastAsia" w:ascii="宋体" w:hAnsi="宋体" w:cs="宋体"/>
          <w:color w:val="auto"/>
          <w:sz w:val="24"/>
          <w:szCs w:val="24"/>
          <w:u w:val="none"/>
        </w:rPr>
      </w:pPr>
    </w:p>
    <w:p>
      <w:pPr>
        <w:pStyle w:val="10"/>
        <w:widowControl/>
        <w:spacing w:line="360" w:lineRule="auto"/>
        <w:ind w:firstLine="480" w:firstLineChars="200"/>
        <w:rPr>
          <w:rFonts w:hint="eastAsia" w:ascii="宋体" w:hAnsi="宋体" w:cs="宋体"/>
          <w:color w:val="auto"/>
          <w:sz w:val="24"/>
          <w:szCs w:val="24"/>
          <w:u w:val="none"/>
        </w:rPr>
      </w:pPr>
    </w:p>
    <w:p>
      <w:pPr>
        <w:rPr>
          <w:rFonts w:hint="eastAsia" w:ascii="宋体" w:hAnsi="宋体" w:cs="宋体"/>
          <w:color w:val="auto"/>
          <w:sz w:val="24"/>
          <w:szCs w:val="24"/>
        </w:rPr>
      </w:pPr>
    </w:p>
    <w:p>
      <w:pPr>
        <w:rPr>
          <w:color w:val="auto"/>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0320454"/>
    </w:sdtPr>
    <w:sdtContent>
      <w:p>
        <w:pPr>
          <w:pStyle w:val="8"/>
          <w:jc w:val="center"/>
        </w:pPr>
        <w:r>
          <w:fldChar w:fldCharType="begin"/>
        </w:r>
        <w:r>
          <w:instrText xml:space="preserve">PAGE   \* MERGEFORMAT</w:instrText>
        </w:r>
        <w:r>
          <w:fldChar w:fldCharType="separate"/>
        </w:r>
        <w:r>
          <w:rPr>
            <w:lang w:val="zh-CN"/>
          </w:rPr>
          <w:t>2</w:t>
        </w:r>
        <w:r>
          <w:fldChar w:fldCharType="end"/>
        </w:r>
      </w:p>
    </w:sdtContent>
  </w:sdt>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666CC"/>
    <w:multiLevelType w:val="multilevel"/>
    <w:tmpl w:val="1B6666CC"/>
    <w:lvl w:ilvl="0" w:tentative="0">
      <w:start w:val="1"/>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285FE45B"/>
    <w:multiLevelType w:val="singleLevel"/>
    <w:tmpl w:val="285FE45B"/>
    <w:lvl w:ilvl="0" w:tentative="0">
      <w:start w:val="1"/>
      <w:numFmt w:val="decimal"/>
      <w:suff w:val="nothing"/>
      <w:lvlText w:val="（%1）"/>
      <w:lvlJc w:val="left"/>
    </w:lvl>
  </w:abstractNum>
  <w:abstractNum w:abstractNumId="2">
    <w:nsid w:val="6F79A827"/>
    <w:multiLevelType w:val="multilevel"/>
    <w:tmpl w:val="6F79A827"/>
    <w:lvl w:ilvl="0" w:tentative="0">
      <w:start w:val="5"/>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rsids>
    <w:rsidRoot w:val="26520CF1"/>
    <w:rsid w:val="000241F0"/>
    <w:rsid w:val="00051EB4"/>
    <w:rsid w:val="00093F33"/>
    <w:rsid w:val="000C692F"/>
    <w:rsid w:val="000D16DB"/>
    <w:rsid w:val="001577A5"/>
    <w:rsid w:val="001728BF"/>
    <w:rsid w:val="00216E46"/>
    <w:rsid w:val="0028213B"/>
    <w:rsid w:val="002B03E5"/>
    <w:rsid w:val="002B4B7F"/>
    <w:rsid w:val="002C3DED"/>
    <w:rsid w:val="00307A98"/>
    <w:rsid w:val="00397F7F"/>
    <w:rsid w:val="003B4AC8"/>
    <w:rsid w:val="00553611"/>
    <w:rsid w:val="005C212B"/>
    <w:rsid w:val="00622243"/>
    <w:rsid w:val="006B493C"/>
    <w:rsid w:val="006C06A3"/>
    <w:rsid w:val="0071278C"/>
    <w:rsid w:val="00716765"/>
    <w:rsid w:val="007D47F5"/>
    <w:rsid w:val="00846DA7"/>
    <w:rsid w:val="008E4E42"/>
    <w:rsid w:val="00A132D4"/>
    <w:rsid w:val="00A87066"/>
    <w:rsid w:val="00AD5F1D"/>
    <w:rsid w:val="00AF263E"/>
    <w:rsid w:val="00B5446F"/>
    <w:rsid w:val="00BA6BBD"/>
    <w:rsid w:val="00C16939"/>
    <w:rsid w:val="00C42FEF"/>
    <w:rsid w:val="00DF0870"/>
    <w:rsid w:val="00E15234"/>
    <w:rsid w:val="00EC0CC3"/>
    <w:rsid w:val="00ED46D7"/>
    <w:rsid w:val="00F25C5D"/>
    <w:rsid w:val="00F706B4"/>
    <w:rsid w:val="00F8025F"/>
    <w:rsid w:val="00F8290D"/>
    <w:rsid w:val="00F83E17"/>
    <w:rsid w:val="022B124A"/>
    <w:rsid w:val="02B675A9"/>
    <w:rsid w:val="042C4A18"/>
    <w:rsid w:val="0442423B"/>
    <w:rsid w:val="0523054B"/>
    <w:rsid w:val="05502988"/>
    <w:rsid w:val="062E6DE7"/>
    <w:rsid w:val="06A42F8B"/>
    <w:rsid w:val="075D7DC0"/>
    <w:rsid w:val="0865499C"/>
    <w:rsid w:val="091A12E3"/>
    <w:rsid w:val="093F6F9B"/>
    <w:rsid w:val="09613BAE"/>
    <w:rsid w:val="096D58B6"/>
    <w:rsid w:val="09880942"/>
    <w:rsid w:val="0ABB6AF5"/>
    <w:rsid w:val="0B04049C"/>
    <w:rsid w:val="0B301291"/>
    <w:rsid w:val="0B36617C"/>
    <w:rsid w:val="0BFE1A29"/>
    <w:rsid w:val="0C00603E"/>
    <w:rsid w:val="0C1C2F3E"/>
    <w:rsid w:val="0DE13B1F"/>
    <w:rsid w:val="0ECF2B6F"/>
    <w:rsid w:val="0EED1247"/>
    <w:rsid w:val="0F9A317D"/>
    <w:rsid w:val="0FA0622F"/>
    <w:rsid w:val="0FF860F6"/>
    <w:rsid w:val="102C08FB"/>
    <w:rsid w:val="106E1301"/>
    <w:rsid w:val="10B54599"/>
    <w:rsid w:val="10CA5CE4"/>
    <w:rsid w:val="11015E0B"/>
    <w:rsid w:val="11E642FD"/>
    <w:rsid w:val="124A70DD"/>
    <w:rsid w:val="13693592"/>
    <w:rsid w:val="14467430"/>
    <w:rsid w:val="14667AD2"/>
    <w:rsid w:val="160B46E8"/>
    <w:rsid w:val="16111CBF"/>
    <w:rsid w:val="16296D61"/>
    <w:rsid w:val="168D7598"/>
    <w:rsid w:val="168E3310"/>
    <w:rsid w:val="16DF43FD"/>
    <w:rsid w:val="18BB2FAE"/>
    <w:rsid w:val="19AE181E"/>
    <w:rsid w:val="19E83BFF"/>
    <w:rsid w:val="19F85670"/>
    <w:rsid w:val="1A6E5932"/>
    <w:rsid w:val="1AA650CC"/>
    <w:rsid w:val="1B4B7FC5"/>
    <w:rsid w:val="1B917B2A"/>
    <w:rsid w:val="1BB90E2F"/>
    <w:rsid w:val="1C542906"/>
    <w:rsid w:val="1C782165"/>
    <w:rsid w:val="1C7F7983"/>
    <w:rsid w:val="1CB246C2"/>
    <w:rsid w:val="1CCC06EE"/>
    <w:rsid w:val="1FC66C62"/>
    <w:rsid w:val="21231DD3"/>
    <w:rsid w:val="21612F6B"/>
    <w:rsid w:val="218B501C"/>
    <w:rsid w:val="21CE6CB6"/>
    <w:rsid w:val="21E2678B"/>
    <w:rsid w:val="21EB34D3"/>
    <w:rsid w:val="21FE134A"/>
    <w:rsid w:val="22F83FEB"/>
    <w:rsid w:val="23A423C5"/>
    <w:rsid w:val="24F1163A"/>
    <w:rsid w:val="26520CF1"/>
    <w:rsid w:val="266446F7"/>
    <w:rsid w:val="267906E6"/>
    <w:rsid w:val="26D42522"/>
    <w:rsid w:val="28A97313"/>
    <w:rsid w:val="28E35E07"/>
    <w:rsid w:val="29B175E9"/>
    <w:rsid w:val="29BF3AB4"/>
    <w:rsid w:val="2AD652E6"/>
    <w:rsid w:val="2AF61758"/>
    <w:rsid w:val="2AFF50BA"/>
    <w:rsid w:val="2B5B780D"/>
    <w:rsid w:val="2C1737B9"/>
    <w:rsid w:val="2C5D5807"/>
    <w:rsid w:val="2D0B0DBF"/>
    <w:rsid w:val="2D7921CC"/>
    <w:rsid w:val="2D934B50"/>
    <w:rsid w:val="2D966384"/>
    <w:rsid w:val="2DCC49F2"/>
    <w:rsid w:val="2F20345E"/>
    <w:rsid w:val="2F464330"/>
    <w:rsid w:val="2FBC2844"/>
    <w:rsid w:val="30474804"/>
    <w:rsid w:val="306E71C1"/>
    <w:rsid w:val="31D64091"/>
    <w:rsid w:val="322F37A1"/>
    <w:rsid w:val="328238D1"/>
    <w:rsid w:val="32C9195B"/>
    <w:rsid w:val="33A06705"/>
    <w:rsid w:val="33FC5905"/>
    <w:rsid w:val="340D6012"/>
    <w:rsid w:val="343C4D4A"/>
    <w:rsid w:val="34831B82"/>
    <w:rsid w:val="34A273FC"/>
    <w:rsid w:val="356B1732"/>
    <w:rsid w:val="35F1398E"/>
    <w:rsid w:val="35FD2646"/>
    <w:rsid w:val="36317C8C"/>
    <w:rsid w:val="364517E5"/>
    <w:rsid w:val="367252E0"/>
    <w:rsid w:val="373B602E"/>
    <w:rsid w:val="383218F5"/>
    <w:rsid w:val="38602906"/>
    <w:rsid w:val="38664899"/>
    <w:rsid w:val="38BC3F52"/>
    <w:rsid w:val="38E028D5"/>
    <w:rsid w:val="39351138"/>
    <w:rsid w:val="39355B41"/>
    <w:rsid w:val="398E34A3"/>
    <w:rsid w:val="3A2B484E"/>
    <w:rsid w:val="3AE50EA1"/>
    <w:rsid w:val="3B027CA5"/>
    <w:rsid w:val="3B05349D"/>
    <w:rsid w:val="3C5A7433"/>
    <w:rsid w:val="3D1B5420"/>
    <w:rsid w:val="3D3E610C"/>
    <w:rsid w:val="3D9D3CB5"/>
    <w:rsid w:val="3F5D194E"/>
    <w:rsid w:val="3FE567A3"/>
    <w:rsid w:val="3FE60532"/>
    <w:rsid w:val="401A783F"/>
    <w:rsid w:val="41967399"/>
    <w:rsid w:val="41A25D3E"/>
    <w:rsid w:val="41FB36A0"/>
    <w:rsid w:val="42562684"/>
    <w:rsid w:val="42B23D5F"/>
    <w:rsid w:val="42D31F27"/>
    <w:rsid w:val="43391B85"/>
    <w:rsid w:val="435272F0"/>
    <w:rsid w:val="438D0328"/>
    <w:rsid w:val="444C01E3"/>
    <w:rsid w:val="44721E23"/>
    <w:rsid w:val="448F15A1"/>
    <w:rsid w:val="44B738AE"/>
    <w:rsid w:val="44DA759D"/>
    <w:rsid w:val="44ED5522"/>
    <w:rsid w:val="457C4AF8"/>
    <w:rsid w:val="45EA07DD"/>
    <w:rsid w:val="465758BB"/>
    <w:rsid w:val="466E32A2"/>
    <w:rsid w:val="474451A1"/>
    <w:rsid w:val="47B42327"/>
    <w:rsid w:val="4831385A"/>
    <w:rsid w:val="484826DA"/>
    <w:rsid w:val="485A1120"/>
    <w:rsid w:val="494029CE"/>
    <w:rsid w:val="4943418B"/>
    <w:rsid w:val="498A4BEA"/>
    <w:rsid w:val="49A308A5"/>
    <w:rsid w:val="49D10A7F"/>
    <w:rsid w:val="49F20EE5"/>
    <w:rsid w:val="4A02281A"/>
    <w:rsid w:val="4A6F5DD2"/>
    <w:rsid w:val="4A8835F7"/>
    <w:rsid w:val="4B4E2A92"/>
    <w:rsid w:val="4B842010"/>
    <w:rsid w:val="4BF27B5D"/>
    <w:rsid w:val="4CDD7C2A"/>
    <w:rsid w:val="4D27359B"/>
    <w:rsid w:val="4D6407D5"/>
    <w:rsid w:val="4D6E11CA"/>
    <w:rsid w:val="4E393586"/>
    <w:rsid w:val="4ECD3CCE"/>
    <w:rsid w:val="4F367AC5"/>
    <w:rsid w:val="4F3B460A"/>
    <w:rsid w:val="4F74239C"/>
    <w:rsid w:val="50B029AB"/>
    <w:rsid w:val="514B3CFC"/>
    <w:rsid w:val="517A68F6"/>
    <w:rsid w:val="51894824"/>
    <w:rsid w:val="523B425A"/>
    <w:rsid w:val="52BC4786"/>
    <w:rsid w:val="53A56FC8"/>
    <w:rsid w:val="540939FA"/>
    <w:rsid w:val="54484B5E"/>
    <w:rsid w:val="544B7B6F"/>
    <w:rsid w:val="54613836"/>
    <w:rsid w:val="54801F51"/>
    <w:rsid w:val="548A4B3B"/>
    <w:rsid w:val="54A159E1"/>
    <w:rsid w:val="55CC5BBE"/>
    <w:rsid w:val="56095F34"/>
    <w:rsid w:val="561874D6"/>
    <w:rsid w:val="562A159A"/>
    <w:rsid w:val="56FA762A"/>
    <w:rsid w:val="574D1E50"/>
    <w:rsid w:val="57580F21"/>
    <w:rsid w:val="584E40D2"/>
    <w:rsid w:val="58AB5080"/>
    <w:rsid w:val="58F35DB2"/>
    <w:rsid w:val="592117E6"/>
    <w:rsid w:val="5A663955"/>
    <w:rsid w:val="5B590DC3"/>
    <w:rsid w:val="5B8F2B27"/>
    <w:rsid w:val="5C7000CD"/>
    <w:rsid w:val="5CF80758"/>
    <w:rsid w:val="5D6B1282"/>
    <w:rsid w:val="5D6D4E17"/>
    <w:rsid w:val="5D900CE9"/>
    <w:rsid w:val="5DE54B90"/>
    <w:rsid w:val="5E734892"/>
    <w:rsid w:val="5F5A730E"/>
    <w:rsid w:val="60E5134B"/>
    <w:rsid w:val="624D7956"/>
    <w:rsid w:val="62EF0E65"/>
    <w:rsid w:val="637013A0"/>
    <w:rsid w:val="63B349EA"/>
    <w:rsid w:val="63D062E3"/>
    <w:rsid w:val="64D72F0C"/>
    <w:rsid w:val="64DB4F3F"/>
    <w:rsid w:val="64EE6A20"/>
    <w:rsid w:val="650941B9"/>
    <w:rsid w:val="651D5558"/>
    <w:rsid w:val="65956E9C"/>
    <w:rsid w:val="662B7800"/>
    <w:rsid w:val="677A27ED"/>
    <w:rsid w:val="6880134D"/>
    <w:rsid w:val="68836D1B"/>
    <w:rsid w:val="68B150D2"/>
    <w:rsid w:val="68E057D4"/>
    <w:rsid w:val="69074555"/>
    <w:rsid w:val="698A2836"/>
    <w:rsid w:val="6A350C4E"/>
    <w:rsid w:val="6A4032C6"/>
    <w:rsid w:val="6A4946F9"/>
    <w:rsid w:val="6ABA3AAE"/>
    <w:rsid w:val="6AE461D0"/>
    <w:rsid w:val="6AF44665"/>
    <w:rsid w:val="6B4F21E3"/>
    <w:rsid w:val="6BB169FA"/>
    <w:rsid w:val="6BDD7130"/>
    <w:rsid w:val="6BE44CE6"/>
    <w:rsid w:val="6C184383"/>
    <w:rsid w:val="6C7D78FE"/>
    <w:rsid w:val="6CB27E6C"/>
    <w:rsid w:val="6CD02EB0"/>
    <w:rsid w:val="6D2A1498"/>
    <w:rsid w:val="6DC85463"/>
    <w:rsid w:val="6DF901E4"/>
    <w:rsid w:val="6E3A4A84"/>
    <w:rsid w:val="6E421B8B"/>
    <w:rsid w:val="6EBB7C62"/>
    <w:rsid w:val="6EF94940"/>
    <w:rsid w:val="710B2708"/>
    <w:rsid w:val="71145A61"/>
    <w:rsid w:val="71C94CB5"/>
    <w:rsid w:val="71CD5C10"/>
    <w:rsid w:val="7248490E"/>
    <w:rsid w:val="72701875"/>
    <w:rsid w:val="72A30D51"/>
    <w:rsid w:val="72DF3E4C"/>
    <w:rsid w:val="73C90F9C"/>
    <w:rsid w:val="73CF2DA3"/>
    <w:rsid w:val="73D239B1"/>
    <w:rsid w:val="74455F31"/>
    <w:rsid w:val="7447614D"/>
    <w:rsid w:val="74B135C7"/>
    <w:rsid w:val="74F31E31"/>
    <w:rsid w:val="755D72AA"/>
    <w:rsid w:val="75866801"/>
    <w:rsid w:val="75A629FF"/>
    <w:rsid w:val="7608190C"/>
    <w:rsid w:val="76C77620"/>
    <w:rsid w:val="76CB62F1"/>
    <w:rsid w:val="76D4359C"/>
    <w:rsid w:val="77E141C3"/>
    <w:rsid w:val="797F5A41"/>
    <w:rsid w:val="7BA42B8C"/>
    <w:rsid w:val="7C762FD8"/>
    <w:rsid w:val="7CEE3FCC"/>
    <w:rsid w:val="7D5D014B"/>
    <w:rsid w:val="7E655B4E"/>
    <w:rsid w:val="7ECD36F3"/>
    <w:rsid w:val="7EEF18BB"/>
    <w:rsid w:val="7F062495"/>
    <w:rsid w:val="7F085303"/>
    <w:rsid w:val="7F3A0649"/>
    <w:rsid w:val="7F764D9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等线"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link w:val="18"/>
    <w:semiHidden/>
    <w:unhideWhenUsed/>
    <w:qFormat/>
    <w:uiPriority w:val="0"/>
    <w:pPr>
      <w:keepNext/>
      <w:keepLines/>
      <w:autoSpaceDE w:val="0"/>
      <w:autoSpaceDN w:val="0"/>
      <w:adjustRightInd w:val="0"/>
      <w:spacing w:before="120" w:line="300" w:lineRule="auto"/>
      <w:jc w:val="center"/>
      <w:outlineLvl w:val="1"/>
    </w:pPr>
    <w:rPr>
      <w:rFonts w:ascii="Arial" w:hAnsi="Arial" w:eastAsia="黑体"/>
      <w:b/>
      <w:kern w:val="0"/>
      <w:sz w:val="30"/>
    </w:rPr>
  </w:style>
  <w:style w:type="paragraph" w:styleId="3">
    <w:name w:val="heading 3"/>
    <w:basedOn w:val="1"/>
    <w:next w:val="4"/>
    <w:link w:val="19"/>
    <w:semiHidden/>
    <w:unhideWhenUsed/>
    <w:qFormat/>
    <w:uiPriority w:val="0"/>
    <w:pPr>
      <w:keepNext/>
      <w:keepLines/>
      <w:autoSpaceDE w:val="0"/>
      <w:autoSpaceDN w:val="0"/>
      <w:adjustRightInd w:val="0"/>
      <w:spacing w:before="360" w:after="120"/>
      <w:jc w:val="left"/>
      <w:outlineLvl w:val="2"/>
    </w:pPr>
    <w:rPr>
      <w:rFonts w:hint="eastAsia" w:ascii="宋体"/>
      <w:b/>
      <w:kern w:val="0"/>
      <w:sz w:val="24"/>
      <w:u w:val="single"/>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link w:val="15"/>
    <w:qFormat/>
    <w:uiPriority w:val="0"/>
    <w:pPr>
      <w:jc w:val="left"/>
    </w:pPr>
  </w:style>
  <w:style w:type="paragraph" w:styleId="6">
    <w:name w:val="Plain Text"/>
    <w:basedOn w:val="1"/>
    <w:link w:val="20"/>
    <w:qFormat/>
    <w:uiPriority w:val="0"/>
    <w:rPr>
      <w:rFonts w:hint="eastAsia" w:ascii="宋体" w:hAnsi="Courier New"/>
      <w:szCs w:val="21"/>
    </w:rPr>
  </w:style>
  <w:style w:type="paragraph" w:styleId="7">
    <w:name w:val="Balloon Text"/>
    <w:basedOn w:val="1"/>
    <w:link w:val="23"/>
    <w:qFormat/>
    <w:uiPriority w:val="0"/>
    <w:rPr>
      <w:sz w:val="18"/>
      <w:szCs w:val="18"/>
    </w:rPr>
  </w:style>
  <w:style w:type="paragraph" w:styleId="8">
    <w:name w:val="footer"/>
    <w:basedOn w:val="1"/>
    <w:link w:val="21"/>
    <w:qFormat/>
    <w:uiPriority w:val="99"/>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qFormat/>
    <w:uiPriority w:val="0"/>
    <w:pPr>
      <w:spacing w:beforeAutospacing="1" w:afterAutospacing="1"/>
      <w:jc w:val="left"/>
    </w:pPr>
    <w:rPr>
      <w:kern w:val="0"/>
      <w:sz w:val="24"/>
    </w:rPr>
  </w:style>
  <w:style w:type="paragraph" w:styleId="11">
    <w:name w:val="annotation subject"/>
    <w:basedOn w:val="5"/>
    <w:next w:val="5"/>
    <w:link w:val="22"/>
    <w:qFormat/>
    <w:uiPriority w:val="0"/>
    <w:rPr>
      <w:b/>
      <w:bCs/>
    </w:rPr>
  </w:style>
  <w:style w:type="character" w:styleId="14">
    <w:name w:val="annotation reference"/>
    <w:basedOn w:val="13"/>
    <w:qFormat/>
    <w:uiPriority w:val="0"/>
    <w:rPr>
      <w:sz w:val="21"/>
      <w:szCs w:val="21"/>
    </w:rPr>
  </w:style>
  <w:style w:type="character" w:customStyle="1" w:styleId="15">
    <w:name w:val="批注文字 字符"/>
    <w:basedOn w:val="13"/>
    <w:link w:val="5"/>
    <w:qFormat/>
    <w:uiPriority w:val="0"/>
    <w:rPr>
      <w:rFonts w:hint="default" w:ascii="Times New Roman" w:hAnsi="Times New Roman" w:eastAsia="宋体" w:cs="Times New Roman"/>
      <w:kern w:val="2"/>
      <w:sz w:val="21"/>
    </w:rPr>
  </w:style>
  <w:style w:type="paragraph" w:customStyle="1" w:styleId="16">
    <w:name w:val="正文文字缩进 2"/>
    <w:basedOn w:val="1"/>
    <w:qFormat/>
    <w:uiPriority w:val="0"/>
    <w:pPr>
      <w:widowControl/>
      <w:spacing w:line="351" w:lineRule="atLeast"/>
      <w:ind w:firstLine="481"/>
    </w:pPr>
    <w:rPr>
      <w:rFonts w:ascii="仿宋_GB2312" w:eastAsia="仿宋_GB2312"/>
      <w:color w:val="000000"/>
      <w:kern w:val="0"/>
      <w:sz w:val="24"/>
      <w:u w:color="000000"/>
    </w:rPr>
  </w:style>
  <w:style w:type="paragraph" w:customStyle="1" w:styleId="17">
    <w:name w:val="正文文字缩进 3"/>
    <w:basedOn w:val="1"/>
    <w:qFormat/>
    <w:uiPriority w:val="0"/>
    <w:pPr>
      <w:widowControl/>
      <w:spacing w:before="119" w:line="272" w:lineRule="atLeast"/>
      <w:ind w:left="719" w:firstLine="481"/>
      <w:jc w:val="left"/>
    </w:pPr>
    <w:rPr>
      <w:rFonts w:hint="eastAsia" w:ascii="宋体"/>
      <w:color w:val="000000"/>
      <w:kern w:val="0"/>
      <w:sz w:val="24"/>
      <w:u w:color="000000"/>
    </w:rPr>
  </w:style>
  <w:style w:type="character" w:customStyle="1" w:styleId="18">
    <w:name w:val="标题 2 字符"/>
    <w:basedOn w:val="13"/>
    <w:link w:val="2"/>
    <w:qFormat/>
    <w:uiPriority w:val="0"/>
    <w:rPr>
      <w:rFonts w:hint="default" w:ascii="Arial" w:hAnsi="Arial" w:eastAsia="黑体" w:cs="Arial"/>
      <w:b/>
      <w:sz w:val="30"/>
    </w:rPr>
  </w:style>
  <w:style w:type="character" w:customStyle="1" w:styleId="19">
    <w:name w:val="标题 3 字符"/>
    <w:basedOn w:val="13"/>
    <w:link w:val="3"/>
    <w:qFormat/>
    <w:uiPriority w:val="0"/>
    <w:rPr>
      <w:rFonts w:hint="eastAsia" w:ascii="宋体" w:hAnsi="Times New Roman" w:eastAsia="宋体" w:cs="宋体"/>
      <w:b/>
      <w:sz w:val="24"/>
      <w:u w:val="single"/>
    </w:rPr>
  </w:style>
  <w:style w:type="character" w:customStyle="1" w:styleId="20">
    <w:name w:val="纯文本 字符"/>
    <w:basedOn w:val="13"/>
    <w:link w:val="6"/>
    <w:qFormat/>
    <w:uiPriority w:val="0"/>
    <w:rPr>
      <w:rFonts w:hint="eastAsia" w:ascii="宋体" w:hAnsi="Courier New" w:eastAsia="宋体" w:cs="宋体"/>
      <w:kern w:val="2"/>
      <w:sz w:val="21"/>
      <w:szCs w:val="21"/>
    </w:rPr>
  </w:style>
  <w:style w:type="character" w:customStyle="1" w:styleId="21">
    <w:name w:val="页脚 字符"/>
    <w:basedOn w:val="13"/>
    <w:link w:val="8"/>
    <w:qFormat/>
    <w:uiPriority w:val="99"/>
    <w:rPr>
      <w:rFonts w:hint="eastAsia" w:ascii="等线" w:hAnsi="等线" w:eastAsia="等线" w:cs="Times New Roman"/>
      <w:kern w:val="2"/>
      <w:sz w:val="18"/>
      <w:szCs w:val="18"/>
    </w:rPr>
  </w:style>
  <w:style w:type="character" w:customStyle="1" w:styleId="22">
    <w:name w:val="批注主题 字符"/>
    <w:basedOn w:val="15"/>
    <w:link w:val="11"/>
    <w:qFormat/>
    <w:uiPriority w:val="0"/>
    <w:rPr>
      <w:rFonts w:hint="default" w:ascii="Times New Roman" w:hAnsi="Times New Roman" w:eastAsia="宋体" w:cs="Times New Roman"/>
      <w:b/>
      <w:bCs/>
      <w:kern w:val="2"/>
      <w:sz w:val="21"/>
    </w:rPr>
  </w:style>
  <w:style w:type="character" w:customStyle="1" w:styleId="23">
    <w:name w:val="批注框文本 字符"/>
    <w:basedOn w:val="13"/>
    <w:link w:val="7"/>
    <w:qFormat/>
    <w:uiPriority w:val="0"/>
    <w:rPr>
      <w:rFonts w:ascii="Times New Roman" w:hAnsi="Times New Roman" w:eastAsia="宋体" w:cs="Times New Roman"/>
      <w:kern w:val="2"/>
      <w:sz w:val="18"/>
      <w:szCs w:val="18"/>
    </w:rPr>
  </w:style>
  <w:style w:type="paragraph" w:customStyle="1" w:styleId="24">
    <w:name w:val="修订1"/>
    <w:hidden/>
    <w:unhideWhenUsed/>
    <w:qFormat/>
    <w:uiPriority w:val="99"/>
    <w:rPr>
      <w:rFonts w:ascii="Times New Roman" w:hAnsi="Times New Roman" w:eastAsia="宋体" w:cs="Times New Roman"/>
      <w:kern w:val="2"/>
      <w:sz w:val="21"/>
      <w:lang w:val="en-US" w:eastAsia="zh-CN" w:bidi="ar-SA"/>
    </w:rPr>
  </w:style>
  <w:style w:type="paragraph" w:customStyle="1" w:styleId="25">
    <w:name w:val="Revision"/>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18</Pages>
  <Words>6104</Words>
  <Characters>6485</Characters>
  <Lines>58</Lines>
  <Paragraphs>16</Paragraphs>
  <TotalTime>25</TotalTime>
  <ScaleCrop>false</ScaleCrop>
  <LinksUpToDate>false</LinksUpToDate>
  <CharactersWithSpaces>7487</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2021-06-11T10:01:00Z</dcterms:created>
  <dc:creator>DC</dc:creator>
  <cp:lastModifiedBy>马越</cp:lastModifiedBy>
  <dcterms:modified xsi:type="dcterms:W3CDTF">2026-08-24T06:49:52Z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77F7259DD13C4203A1A0E19122858109</vt:lpwstr>
  </property>
  <property fmtid="{D5CDD505-2E9C-101B-9397-08002B2CF9AE}" pid="4" name="KSOTemplateDocerSaveRecord">
    <vt:lpwstr>eyJoZGlkIjoiODE0ZWUwZDg2ZGEzY2JmZmU4ZThlM2NhNGE5N2U2ZTUiLCJ1c2VySWQiOiIyMjY5MzI2MzQifQ==</vt:lpwstr>
  </property>
</Properties>
</file>