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29D96">
      <w:pPr>
        <w:pStyle w:val="6"/>
        <w:ind w:firstLine="643" w:firstLineChars="200"/>
        <w:jc w:val="center"/>
        <w:rPr>
          <w:rFonts w:hint="default" w:hAnsi="宋体" w:cs="宋体"/>
          <w:b/>
          <w:sz w:val="48"/>
        </w:rPr>
      </w:pPr>
      <w:r>
        <w:rPr>
          <w:rFonts w:hAnsi="宋体" w:cs="宋体"/>
          <w:b/>
          <w:sz w:val="32"/>
          <w:szCs w:val="32"/>
        </w:rPr>
        <w:t xml:space="preserve">                       </w:t>
      </w:r>
      <w:r>
        <w:rPr>
          <w:rFonts w:hAnsi="宋体" w:cs="宋体"/>
          <w:b/>
          <w:sz w:val="24"/>
          <w:szCs w:val="24"/>
        </w:rPr>
        <w:t>合同编号：</w:t>
      </w:r>
      <w:r>
        <w:rPr>
          <w:rFonts w:hAnsi="宋体" w:cs="宋体"/>
          <w:b/>
          <w:sz w:val="24"/>
          <w:szCs w:val="24"/>
          <w:u w:val="single"/>
        </w:rPr>
        <w:t xml:space="preserve">            </w:t>
      </w:r>
    </w:p>
    <w:p w14:paraId="53A69CD4">
      <w:pPr>
        <w:pStyle w:val="6"/>
        <w:ind w:firstLine="964" w:firstLineChars="200"/>
        <w:jc w:val="center"/>
        <w:rPr>
          <w:rFonts w:hint="default" w:hAnsi="宋体" w:cs="宋体"/>
          <w:b/>
          <w:sz w:val="48"/>
        </w:rPr>
      </w:pPr>
    </w:p>
    <w:p w14:paraId="7BA59197">
      <w:pPr>
        <w:pStyle w:val="6"/>
        <w:ind w:firstLine="964" w:firstLineChars="200"/>
        <w:jc w:val="center"/>
        <w:rPr>
          <w:rFonts w:hint="default" w:hAnsi="宋体" w:cs="宋体"/>
          <w:b/>
          <w:sz w:val="48"/>
        </w:rPr>
      </w:pPr>
    </w:p>
    <w:p w14:paraId="74E83C37">
      <w:pPr>
        <w:pStyle w:val="6"/>
        <w:ind w:firstLine="964" w:firstLineChars="200"/>
        <w:jc w:val="center"/>
        <w:rPr>
          <w:rFonts w:hint="default" w:hAnsi="宋体" w:cs="宋体"/>
          <w:b/>
          <w:sz w:val="48"/>
          <w:szCs w:val="48"/>
        </w:rPr>
      </w:pPr>
    </w:p>
    <w:p w14:paraId="768C8983">
      <w:pPr>
        <w:pStyle w:val="6"/>
        <w:ind w:firstLine="964" w:firstLineChars="200"/>
        <w:jc w:val="center"/>
        <w:rPr>
          <w:rFonts w:hint="default" w:hAnsi="宋体" w:cs="宋体"/>
          <w:b/>
          <w:sz w:val="48"/>
          <w:szCs w:val="48"/>
        </w:rPr>
      </w:pPr>
      <w:r>
        <w:rPr>
          <w:rFonts w:hAnsi="宋体" w:cs="宋体"/>
          <w:b/>
          <w:sz w:val="48"/>
          <w:szCs w:val="48"/>
        </w:rPr>
        <w:t>政府采购合同（货物类）</w:t>
      </w:r>
    </w:p>
    <w:p w14:paraId="45F4D3B2">
      <w:pPr>
        <w:pStyle w:val="6"/>
        <w:ind w:firstLine="602" w:firstLineChars="200"/>
        <w:jc w:val="center"/>
        <w:rPr>
          <w:rFonts w:hint="default" w:hAnsi="宋体" w:cs="宋体"/>
          <w:b/>
          <w:sz w:val="30"/>
          <w:szCs w:val="30"/>
        </w:rPr>
      </w:pPr>
    </w:p>
    <w:p w14:paraId="76A7B8A5">
      <w:pPr>
        <w:pStyle w:val="6"/>
        <w:ind w:firstLine="880" w:firstLineChars="200"/>
        <w:rPr>
          <w:rFonts w:hint="default" w:hAnsi="宋体" w:cs="宋体"/>
          <w:sz w:val="44"/>
        </w:rPr>
      </w:pPr>
    </w:p>
    <w:p w14:paraId="56450920">
      <w:pPr>
        <w:pStyle w:val="6"/>
        <w:ind w:firstLine="880" w:firstLineChars="200"/>
        <w:rPr>
          <w:rFonts w:hint="default" w:hAnsi="宋体" w:cs="宋体"/>
          <w:sz w:val="44"/>
        </w:rPr>
      </w:pPr>
    </w:p>
    <w:p w14:paraId="37310862">
      <w:pPr>
        <w:pStyle w:val="6"/>
        <w:ind w:firstLine="880" w:firstLineChars="200"/>
        <w:rPr>
          <w:rFonts w:hint="default" w:hAnsi="宋体" w:cs="宋体"/>
          <w:sz w:val="44"/>
        </w:rPr>
      </w:pPr>
    </w:p>
    <w:p w14:paraId="3F1F6EBC">
      <w:pPr>
        <w:pStyle w:val="6"/>
        <w:ind w:firstLine="880" w:firstLineChars="200"/>
        <w:rPr>
          <w:rFonts w:hint="default" w:hAnsi="宋体" w:cs="宋体"/>
          <w:sz w:val="44"/>
        </w:rPr>
      </w:pPr>
    </w:p>
    <w:p w14:paraId="61D59EBE">
      <w:pPr>
        <w:pStyle w:val="6"/>
        <w:ind w:firstLine="880" w:firstLineChars="200"/>
        <w:rPr>
          <w:rFonts w:hint="default" w:hAnsi="宋体" w:cs="宋体"/>
          <w:sz w:val="44"/>
        </w:rPr>
      </w:pPr>
    </w:p>
    <w:p w14:paraId="36989164">
      <w:pPr>
        <w:pStyle w:val="6"/>
        <w:rPr>
          <w:rFonts w:hint="default" w:hAnsi="宋体" w:cs="宋体"/>
          <w:sz w:val="44"/>
        </w:rPr>
      </w:pPr>
    </w:p>
    <w:p w14:paraId="398F7AF0">
      <w:pPr>
        <w:pStyle w:val="6"/>
        <w:ind w:firstLine="880" w:firstLineChars="200"/>
        <w:rPr>
          <w:rFonts w:hint="default" w:hAnsi="宋体" w:cs="宋体"/>
          <w:sz w:val="44"/>
        </w:rPr>
      </w:pPr>
    </w:p>
    <w:p w14:paraId="6F9286B8">
      <w:pPr>
        <w:pStyle w:val="6"/>
        <w:snapToGrid w:val="0"/>
        <w:ind w:firstLine="643" w:firstLineChars="200"/>
        <w:rPr>
          <w:rFonts w:hint="default" w:hAnsi="宋体" w:cs="宋体"/>
          <w:bCs/>
          <w:sz w:val="32"/>
          <w:szCs w:val="32"/>
          <w:u w:val="single"/>
        </w:rPr>
      </w:pPr>
      <w:r>
        <w:rPr>
          <w:rFonts w:hAnsi="宋体" w:cs="宋体"/>
          <w:b/>
          <w:sz w:val="32"/>
          <w:szCs w:val="32"/>
        </w:rPr>
        <w:t>项目名称：</w:t>
      </w:r>
      <w:r>
        <w:rPr>
          <w:rFonts w:hAnsi="宋体" w:cs="宋体"/>
          <w:bCs/>
          <w:sz w:val="32"/>
          <w:szCs w:val="32"/>
          <w:u w:val="single"/>
        </w:rPr>
        <w:t xml:space="preserve">        </w:t>
      </w:r>
      <w:r>
        <w:rPr>
          <w:rFonts w:hint="eastAsia" w:hAnsi="宋体" w:cs="宋体"/>
          <w:bCs/>
          <w:sz w:val="32"/>
          <w:szCs w:val="32"/>
          <w:u w:val="single"/>
        </w:rPr>
        <w:t>大型饱水外棺定制浸泡池</w:t>
      </w:r>
      <w:r>
        <w:rPr>
          <w:rFonts w:hAnsi="宋体" w:cs="宋体"/>
          <w:bCs/>
          <w:sz w:val="32"/>
          <w:szCs w:val="32"/>
          <w:u w:val="single"/>
        </w:rPr>
        <w:t xml:space="preserve">          </w:t>
      </w:r>
    </w:p>
    <w:p w14:paraId="065F8656">
      <w:pPr>
        <w:pStyle w:val="6"/>
        <w:snapToGrid w:val="0"/>
        <w:ind w:firstLine="640" w:firstLineChars="200"/>
        <w:rPr>
          <w:rFonts w:hint="default" w:hAnsi="宋体" w:cs="宋体"/>
          <w:bCs/>
          <w:sz w:val="32"/>
          <w:szCs w:val="32"/>
          <w:u w:val="single"/>
        </w:rPr>
      </w:pPr>
    </w:p>
    <w:p w14:paraId="0D2A0558">
      <w:pPr>
        <w:pStyle w:val="6"/>
        <w:snapToGrid w:val="0"/>
        <w:ind w:firstLine="643" w:firstLineChars="200"/>
        <w:rPr>
          <w:rFonts w:hint="default" w:hAnsi="宋体" w:cs="宋体"/>
          <w:b/>
          <w:sz w:val="32"/>
          <w:szCs w:val="32"/>
          <w:u w:val="thick"/>
        </w:rPr>
      </w:pPr>
      <w:r>
        <w:rPr>
          <w:rFonts w:hAnsi="宋体" w:cs="宋体"/>
          <w:b/>
          <w:sz w:val="32"/>
          <w:szCs w:val="32"/>
        </w:rPr>
        <w:t>项目地点：</w:t>
      </w:r>
      <w:r>
        <w:rPr>
          <w:rFonts w:hAnsi="宋体" w:cs="宋体"/>
          <w:bCs/>
          <w:sz w:val="32"/>
          <w:szCs w:val="32"/>
          <w:u w:val="single"/>
        </w:rPr>
        <w:t xml:space="preserve">        </w:t>
      </w:r>
      <w:r>
        <w:rPr>
          <w:rFonts w:hint="eastAsia" w:hAnsi="宋体" w:cs="宋体"/>
          <w:bCs/>
          <w:sz w:val="32"/>
          <w:szCs w:val="32"/>
          <w:u w:val="single"/>
          <w:lang w:val="en-US" w:eastAsia="zh-CN"/>
        </w:rPr>
        <w:t>安徽</w:t>
      </w:r>
      <w:r>
        <w:rPr>
          <w:rFonts w:hAnsi="宋体" w:cs="宋体"/>
          <w:bCs/>
          <w:sz w:val="32"/>
          <w:szCs w:val="32"/>
          <w:u w:val="single"/>
        </w:rPr>
        <w:t>省</w:t>
      </w:r>
      <w:r>
        <w:rPr>
          <w:rFonts w:hint="eastAsia" w:hAnsi="宋体" w:cs="宋体"/>
          <w:bCs/>
          <w:sz w:val="32"/>
          <w:szCs w:val="32"/>
          <w:u w:val="single"/>
          <w:lang w:val="en-US" w:eastAsia="zh-CN"/>
        </w:rPr>
        <w:t>淮南</w:t>
      </w:r>
      <w:r>
        <w:rPr>
          <w:rFonts w:hAnsi="宋体" w:cs="宋体"/>
          <w:bCs/>
          <w:sz w:val="32"/>
          <w:szCs w:val="32"/>
          <w:u w:val="single"/>
        </w:rPr>
        <w:t xml:space="preserve">市                </w:t>
      </w:r>
    </w:p>
    <w:p w14:paraId="5FF2339D">
      <w:pPr>
        <w:pStyle w:val="6"/>
        <w:snapToGrid w:val="0"/>
        <w:ind w:firstLine="643" w:firstLineChars="200"/>
        <w:rPr>
          <w:rFonts w:hint="default" w:hAnsi="宋体" w:cs="宋体"/>
          <w:b/>
          <w:sz w:val="32"/>
          <w:szCs w:val="32"/>
          <w:u w:val="thick"/>
        </w:rPr>
      </w:pPr>
    </w:p>
    <w:p w14:paraId="45A0BDB2">
      <w:pPr>
        <w:pStyle w:val="6"/>
        <w:snapToGrid w:val="0"/>
        <w:ind w:firstLine="643" w:firstLineChars="200"/>
        <w:rPr>
          <w:rFonts w:hint="default" w:hAnsi="宋体" w:cs="宋体"/>
          <w:b/>
          <w:sz w:val="32"/>
          <w:szCs w:val="32"/>
          <w:u w:val="thick"/>
        </w:rPr>
      </w:pPr>
      <w:r>
        <w:rPr>
          <w:rFonts w:hAnsi="宋体" w:cs="宋体"/>
          <w:b/>
          <w:sz w:val="32"/>
          <w:szCs w:val="32"/>
        </w:rPr>
        <w:t>甲方：</w:t>
      </w:r>
      <w:r>
        <w:rPr>
          <w:rFonts w:hAnsi="宋体" w:cs="宋体"/>
          <w:bCs/>
          <w:sz w:val="32"/>
          <w:szCs w:val="32"/>
          <w:u w:val="single"/>
        </w:rPr>
        <w:t xml:space="preserve">      国家文物局考古研究中心            </w:t>
      </w:r>
    </w:p>
    <w:p w14:paraId="2924AB6C">
      <w:pPr>
        <w:pStyle w:val="6"/>
        <w:snapToGrid w:val="0"/>
        <w:ind w:firstLine="643" w:firstLineChars="200"/>
        <w:rPr>
          <w:rFonts w:hint="default" w:hAnsi="宋体" w:cs="宋体"/>
          <w:b/>
          <w:sz w:val="32"/>
          <w:szCs w:val="32"/>
        </w:rPr>
      </w:pPr>
      <w:r>
        <w:rPr>
          <w:rFonts w:hAnsi="宋体" w:cs="宋体"/>
          <w:b/>
          <w:sz w:val="32"/>
          <w:szCs w:val="32"/>
        </w:rPr>
        <w:t xml:space="preserve">  </w:t>
      </w:r>
    </w:p>
    <w:p w14:paraId="0F7AA512">
      <w:pPr>
        <w:pStyle w:val="6"/>
        <w:snapToGrid w:val="0"/>
        <w:ind w:firstLine="643" w:firstLineChars="200"/>
        <w:rPr>
          <w:rFonts w:hint="default" w:hAnsi="宋体" w:cs="宋体"/>
          <w:b/>
          <w:sz w:val="32"/>
          <w:szCs w:val="32"/>
          <w:u w:val="thick"/>
        </w:rPr>
      </w:pPr>
      <w:r>
        <w:rPr>
          <w:rFonts w:hAnsi="宋体" w:cs="宋体"/>
          <w:b/>
          <w:sz w:val="32"/>
          <w:szCs w:val="32"/>
        </w:rPr>
        <w:t>乙方：</w:t>
      </w:r>
      <w:r>
        <w:rPr>
          <w:rFonts w:hAnsi="宋体" w:cs="宋体"/>
          <w:b/>
          <w:sz w:val="32"/>
          <w:szCs w:val="32"/>
          <w:u w:val="single"/>
        </w:rPr>
        <w:t xml:space="preserve"> </w:t>
      </w:r>
      <w:r>
        <w:rPr>
          <w:rFonts w:hAnsi="宋体" w:cs="宋体"/>
          <w:bCs/>
          <w:sz w:val="32"/>
          <w:szCs w:val="32"/>
          <w:u w:val="single"/>
        </w:rPr>
        <w:t xml:space="preserve">                                      </w:t>
      </w:r>
    </w:p>
    <w:p w14:paraId="4F24CFCC">
      <w:pPr>
        <w:pStyle w:val="6"/>
        <w:snapToGrid w:val="0"/>
        <w:ind w:firstLine="643" w:firstLineChars="200"/>
        <w:rPr>
          <w:rFonts w:hint="default" w:hAnsi="宋体" w:cs="宋体"/>
          <w:b/>
          <w:sz w:val="32"/>
          <w:szCs w:val="32"/>
        </w:rPr>
      </w:pPr>
    </w:p>
    <w:p w14:paraId="18AB55F5">
      <w:pPr>
        <w:pStyle w:val="6"/>
        <w:snapToGrid w:val="0"/>
        <w:ind w:firstLine="643" w:firstLineChars="200"/>
        <w:rPr>
          <w:rFonts w:hint="default" w:hAnsi="宋体" w:cs="宋体"/>
          <w:b/>
          <w:sz w:val="32"/>
          <w:szCs w:val="32"/>
        </w:rPr>
      </w:pPr>
      <w:r>
        <w:rPr>
          <w:rFonts w:hAnsi="宋体" w:cs="宋体"/>
          <w:b/>
          <w:sz w:val="32"/>
          <w:szCs w:val="32"/>
        </w:rPr>
        <w:t>签订日期：</w:t>
      </w:r>
      <w:r>
        <w:rPr>
          <w:rFonts w:hAnsi="宋体" w:cs="宋体"/>
          <w:bCs/>
          <w:sz w:val="32"/>
          <w:szCs w:val="32"/>
          <w:u w:val="single"/>
        </w:rPr>
        <w:t xml:space="preserve">       </w:t>
      </w:r>
      <w:r>
        <w:rPr>
          <w:rFonts w:hAnsi="宋体" w:cs="宋体"/>
          <w:sz w:val="32"/>
          <w:szCs w:val="32"/>
        </w:rPr>
        <w:t>年</w:t>
      </w:r>
      <w:r>
        <w:rPr>
          <w:rFonts w:hAnsi="宋体" w:cs="宋体"/>
          <w:bCs/>
          <w:sz w:val="32"/>
          <w:szCs w:val="32"/>
          <w:u w:val="single"/>
        </w:rPr>
        <w:t xml:space="preserve">      </w:t>
      </w:r>
      <w:r>
        <w:rPr>
          <w:rFonts w:hAnsi="宋体" w:cs="宋体"/>
          <w:sz w:val="32"/>
          <w:szCs w:val="32"/>
        </w:rPr>
        <w:t>月</w:t>
      </w:r>
      <w:r>
        <w:rPr>
          <w:rFonts w:hAnsi="宋体" w:cs="宋体"/>
          <w:bCs/>
          <w:sz w:val="32"/>
          <w:szCs w:val="32"/>
          <w:u w:val="single"/>
        </w:rPr>
        <w:t xml:space="preserve">      </w:t>
      </w:r>
      <w:r>
        <w:rPr>
          <w:rFonts w:hAnsi="宋体" w:cs="宋体"/>
          <w:sz w:val="32"/>
          <w:szCs w:val="32"/>
        </w:rPr>
        <w:t>日</w:t>
      </w:r>
    </w:p>
    <w:p w14:paraId="3CEA33ED">
      <w:pPr>
        <w:pStyle w:val="6"/>
        <w:snapToGrid w:val="0"/>
        <w:ind w:firstLine="643" w:firstLineChars="200"/>
        <w:rPr>
          <w:rFonts w:hint="default" w:hAnsi="宋体" w:cs="宋体"/>
          <w:b/>
          <w:sz w:val="32"/>
          <w:szCs w:val="32"/>
        </w:rPr>
      </w:pPr>
    </w:p>
    <w:p w14:paraId="2B9DF5FA">
      <w:pPr>
        <w:pStyle w:val="6"/>
        <w:snapToGrid w:val="0"/>
        <w:ind w:firstLine="643" w:firstLineChars="200"/>
        <w:rPr>
          <w:rFonts w:hint="default" w:hAnsi="宋体" w:cs="宋体"/>
          <w:bCs/>
          <w:sz w:val="32"/>
          <w:szCs w:val="32"/>
          <w:u w:val="single"/>
        </w:rPr>
      </w:pPr>
      <w:r>
        <w:rPr>
          <w:rFonts w:hAnsi="宋体" w:cs="宋体"/>
          <w:b/>
          <w:sz w:val="32"/>
          <w:szCs w:val="32"/>
        </w:rPr>
        <w:t xml:space="preserve">签订地点： </w:t>
      </w:r>
      <w:r>
        <w:rPr>
          <w:rFonts w:hAnsi="宋体" w:cs="宋体"/>
          <w:bCs/>
          <w:sz w:val="32"/>
          <w:szCs w:val="32"/>
          <w:u w:val="single"/>
        </w:rPr>
        <w:t xml:space="preserve">             北京                 </w:t>
      </w:r>
    </w:p>
    <w:p w14:paraId="76C1F0F5"/>
    <w:p w14:paraId="4BA96BD1"/>
    <w:p w14:paraId="395FA4A9">
      <w:pPr>
        <w:widowControl/>
        <w:spacing w:line="360" w:lineRule="auto"/>
        <w:rPr>
          <w:rFonts w:ascii="宋体" w:hAnsi="宋体" w:cs="宋体"/>
          <w:b/>
          <w:sz w:val="24"/>
          <w:szCs w:val="24"/>
        </w:rPr>
      </w:pPr>
    </w:p>
    <w:p w14:paraId="6DEBAB73">
      <w:pPr>
        <w:widowControl/>
        <w:spacing w:line="360" w:lineRule="auto"/>
        <w:ind w:firstLine="482" w:firstLineChars="200"/>
        <w:jc w:val="center"/>
        <w:rPr>
          <w:rFonts w:ascii="宋体" w:hAnsi="宋体" w:cs="宋体"/>
          <w:b/>
          <w:sz w:val="24"/>
          <w:szCs w:val="24"/>
        </w:rPr>
      </w:pPr>
    </w:p>
    <w:p w14:paraId="65E8B964">
      <w:pPr>
        <w:widowControl/>
        <w:spacing w:line="360" w:lineRule="auto"/>
        <w:ind w:firstLine="482" w:firstLineChars="200"/>
        <w:jc w:val="center"/>
        <w:rPr>
          <w:rFonts w:ascii="宋体" w:hAnsi="宋体" w:cs="宋体"/>
          <w:b/>
          <w:sz w:val="24"/>
          <w:szCs w:val="24"/>
        </w:rPr>
        <w:sectPr>
          <w:pgSz w:w="11906" w:h="16838"/>
          <w:pgMar w:top="1440" w:right="1800" w:bottom="1440" w:left="1800" w:header="851" w:footer="992" w:gutter="0"/>
          <w:cols w:space="425" w:num="1"/>
          <w:docGrid w:type="lines" w:linePitch="312" w:charSpace="0"/>
        </w:sectPr>
      </w:pPr>
    </w:p>
    <w:p w14:paraId="6EEF2C6F">
      <w:pPr>
        <w:widowControl/>
        <w:spacing w:line="360" w:lineRule="auto"/>
        <w:ind w:firstLine="723" w:firstLineChars="200"/>
        <w:jc w:val="center"/>
        <w:rPr>
          <w:rFonts w:ascii="宋体" w:hAnsi="宋体" w:cs="宋体"/>
          <w:b/>
          <w:sz w:val="36"/>
          <w:szCs w:val="36"/>
        </w:rPr>
      </w:pPr>
      <w:r>
        <w:rPr>
          <w:rFonts w:hint="eastAsia" w:ascii="宋体" w:hAnsi="宋体" w:cs="宋体"/>
          <w:b/>
          <w:sz w:val="36"/>
          <w:szCs w:val="36"/>
        </w:rPr>
        <w:t>合</w:t>
      </w:r>
      <w:r>
        <w:rPr>
          <w:rFonts w:ascii="宋体" w:hAnsi="宋体" w:cs="宋体"/>
          <w:b/>
          <w:sz w:val="36"/>
          <w:szCs w:val="36"/>
        </w:rPr>
        <w:t xml:space="preserve"> </w:t>
      </w:r>
      <w:r>
        <w:rPr>
          <w:rFonts w:hint="eastAsia" w:ascii="宋体" w:hAnsi="宋体" w:cs="宋体"/>
          <w:b/>
          <w:sz w:val="36"/>
          <w:szCs w:val="36"/>
        </w:rPr>
        <w:t>同</w:t>
      </w:r>
      <w:r>
        <w:rPr>
          <w:rFonts w:ascii="宋体" w:hAnsi="宋体" w:cs="宋体"/>
          <w:b/>
          <w:sz w:val="36"/>
          <w:szCs w:val="36"/>
        </w:rPr>
        <w:t xml:space="preserve"> </w:t>
      </w:r>
      <w:r>
        <w:rPr>
          <w:rFonts w:hint="eastAsia" w:ascii="宋体" w:hAnsi="宋体" w:cs="宋体"/>
          <w:b/>
          <w:sz w:val="36"/>
          <w:szCs w:val="36"/>
        </w:rPr>
        <w:t>书</w:t>
      </w:r>
    </w:p>
    <w:p w14:paraId="13F817A1">
      <w:pPr>
        <w:snapToGrid w:val="0"/>
        <w:spacing w:line="360" w:lineRule="auto"/>
        <w:ind w:firstLine="480" w:firstLineChars="200"/>
        <w:rPr>
          <w:rFonts w:ascii="宋体" w:hAnsi="宋体" w:cs="宋体"/>
          <w:sz w:val="24"/>
          <w:szCs w:val="24"/>
        </w:rPr>
      </w:pPr>
    </w:p>
    <w:p w14:paraId="3FEACECF">
      <w:pPr>
        <w:snapToGrid w:val="0"/>
        <w:spacing w:line="360" w:lineRule="auto"/>
        <w:ind w:firstLine="480" w:firstLineChars="200"/>
        <w:rPr>
          <w:rFonts w:ascii="宋体" w:hAnsi="宋体" w:cs="宋体"/>
          <w:sz w:val="24"/>
          <w:szCs w:val="24"/>
        </w:rPr>
      </w:pPr>
      <w:r>
        <w:rPr>
          <w:rFonts w:hint="eastAsia" w:ascii="宋体" w:hAnsi="宋体" w:cs="宋体"/>
          <w:sz w:val="24"/>
          <w:szCs w:val="24"/>
          <w:u w:val="single"/>
        </w:rPr>
        <w:t>国家文物局考古研究中心</w:t>
      </w:r>
      <w:r>
        <w:rPr>
          <w:rFonts w:hint="eastAsia" w:ascii="宋体" w:hAnsi="宋体" w:cs="宋体"/>
          <w:sz w:val="24"/>
          <w:szCs w:val="24"/>
        </w:rPr>
        <w:t>(甲方)通过国内公开，确定</w:t>
      </w:r>
      <w:r>
        <w:rPr>
          <w:rFonts w:hint="eastAsia" w:ascii="宋体" w:hAnsi="宋体" w:cs="宋体"/>
          <w:sz w:val="24"/>
          <w:u w:val="single"/>
        </w:rPr>
        <w:t xml:space="preserve">      </w:t>
      </w:r>
      <w:r>
        <w:rPr>
          <w:rFonts w:hint="eastAsia" w:ascii="宋体" w:hAnsi="宋体" w:cs="宋体"/>
          <w:sz w:val="24"/>
          <w:szCs w:val="24"/>
          <w:u w:val="single"/>
        </w:rPr>
        <w:t xml:space="preserve">      有限公司</w:t>
      </w:r>
      <w:r>
        <w:rPr>
          <w:rFonts w:hint="eastAsia" w:ascii="宋体" w:hAnsi="宋体" w:cs="宋体"/>
          <w:sz w:val="24"/>
          <w:szCs w:val="24"/>
        </w:rPr>
        <w:t>(乙方)为</w:t>
      </w:r>
      <w:r>
        <w:rPr>
          <w:rFonts w:hint="eastAsia" w:ascii="宋体" w:hAnsi="宋体" w:cs="宋体"/>
          <w:sz w:val="24"/>
          <w:szCs w:val="24"/>
          <w:u w:val="single"/>
        </w:rPr>
        <w:t>大型饱水外棺定制浸泡池项目</w:t>
      </w:r>
      <w:r>
        <w:rPr>
          <w:rFonts w:hint="eastAsia" w:ascii="宋体" w:hAnsi="宋体" w:cs="宋体"/>
          <w:sz w:val="24"/>
          <w:szCs w:val="24"/>
        </w:rPr>
        <w:t>成交人。双方依据《中华人民共和国政府采购法》、《中华人民共和国民法典》，在平等自愿的基础上，同意按照下面的条款和条件，签署本合同。</w:t>
      </w:r>
    </w:p>
    <w:p w14:paraId="4CAE48D1">
      <w:pPr>
        <w:snapToGrid w:val="0"/>
        <w:spacing w:line="360" w:lineRule="auto"/>
        <w:ind w:firstLine="482" w:firstLineChars="200"/>
        <w:textAlignment w:val="baseline"/>
        <w:rPr>
          <w:rFonts w:ascii="宋体" w:hAnsi="宋体" w:cs="宋体"/>
          <w:b/>
          <w:sz w:val="24"/>
          <w:szCs w:val="24"/>
        </w:rPr>
      </w:pPr>
      <w:r>
        <w:rPr>
          <w:rFonts w:hint="eastAsia" w:ascii="宋体" w:hAnsi="宋体" w:cs="宋体"/>
          <w:b/>
          <w:sz w:val="24"/>
          <w:szCs w:val="24"/>
        </w:rPr>
        <w:t>1. 合同文件</w:t>
      </w:r>
    </w:p>
    <w:p w14:paraId="48B3EBDC">
      <w:pPr>
        <w:snapToGrid w:val="0"/>
        <w:spacing w:line="360" w:lineRule="auto"/>
        <w:ind w:firstLine="480" w:firstLineChars="200"/>
        <w:rPr>
          <w:rFonts w:ascii="宋体" w:hAnsi="宋体" w:cs="宋体"/>
          <w:sz w:val="24"/>
          <w:szCs w:val="24"/>
        </w:rPr>
      </w:pPr>
      <w:r>
        <w:rPr>
          <w:rFonts w:hint="eastAsia" w:ascii="宋体" w:hAnsi="宋体" w:cs="宋体"/>
          <w:sz w:val="24"/>
          <w:szCs w:val="24"/>
        </w:rPr>
        <w:t>下列文件是合同的组成部分，优先支配地位的次序如下：</w:t>
      </w:r>
    </w:p>
    <w:p w14:paraId="793DFAB7">
      <w:pPr>
        <w:snapToGrid w:val="0"/>
        <w:spacing w:line="360" w:lineRule="auto"/>
        <w:ind w:firstLine="480" w:firstLineChars="200"/>
        <w:rPr>
          <w:rFonts w:ascii="宋体" w:hAnsi="宋体" w:cs="宋体"/>
          <w:sz w:val="24"/>
          <w:szCs w:val="24"/>
        </w:rPr>
      </w:pPr>
      <w:r>
        <w:rPr>
          <w:rFonts w:hint="eastAsia" w:ascii="宋体" w:hAnsi="宋体" w:cs="宋体"/>
          <w:sz w:val="24"/>
          <w:szCs w:val="24"/>
        </w:rPr>
        <w:t>（1）本合同书</w:t>
      </w:r>
    </w:p>
    <w:p w14:paraId="37FF9F8A">
      <w:pPr>
        <w:snapToGrid w:val="0"/>
        <w:spacing w:line="360" w:lineRule="auto"/>
        <w:ind w:firstLine="480" w:firstLineChars="200"/>
        <w:rPr>
          <w:rFonts w:ascii="宋体" w:hAnsi="宋体" w:cs="宋体"/>
          <w:sz w:val="24"/>
          <w:szCs w:val="24"/>
        </w:rPr>
      </w:pPr>
      <w:r>
        <w:rPr>
          <w:rFonts w:hint="eastAsia" w:ascii="宋体" w:hAnsi="宋体" w:cs="宋体"/>
          <w:sz w:val="24"/>
          <w:szCs w:val="24"/>
        </w:rPr>
        <w:t>（2）合同条款及特殊条款内容</w:t>
      </w:r>
    </w:p>
    <w:p w14:paraId="58F32783">
      <w:pPr>
        <w:snapToGrid w:val="0"/>
        <w:spacing w:line="360" w:lineRule="auto"/>
        <w:ind w:firstLine="482" w:firstLineChars="200"/>
        <w:rPr>
          <w:rFonts w:ascii="宋体" w:hAnsi="宋体" w:cs="宋体"/>
          <w:sz w:val="24"/>
          <w:szCs w:val="24"/>
        </w:rPr>
      </w:pPr>
      <w:r>
        <w:rPr>
          <w:rFonts w:hint="eastAsia" w:ascii="宋体" w:hAnsi="宋体" w:cs="宋体"/>
          <w:b/>
          <w:sz w:val="24"/>
          <w:szCs w:val="24"/>
        </w:rPr>
        <w:t>2. 采购内容</w:t>
      </w:r>
    </w:p>
    <w:p w14:paraId="0A6CD929">
      <w:pPr>
        <w:snapToGrid w:val="0"/>
        <w:spacing w:line="360" w:lineRule="auto"/>
        <w:ind w:firstLine="480" w:firstLineChars="200"/>
        <w:rPr>
          <w:rFonts w:ascii="宋体" w:hAnsi="宋体" w:cs="宋体"/>
          <w:sz w:val="24"/>
          <w:szCs w:val="24"/>
        </w:rPr>
      </w:pPr>
      <w:r>
        <w:rPr>
          <w:rFonts w:hint="eastAsia" w:ascii="宋体" w:hAnsi="宋体" w:cs="宋体"/>
          <w:sz w:val="24"/>
          <w:szCs w:val="24"/>
        </w:rPr>
        <w:t>本合同采购的具体内容：</w:t>
      </w:r>
      <w:r>
        <w:rPr>
          <w:rFonts w:hint="eastAsia" w:ascii="宋体" w:hAnsi="宋体" w:cs="宋体"/>
          <w:sz w:val="24"/>
          <w:szCs w:val="24"/>
          <w:u w:val="single"/>
        </w:rPr>
        <w:t>大型饱水外棺定制浸泡池1</w:t>
      </w:r>
      <w:r>
        <w:rPr>
          <w:rFonts w:hint="eastAsia" w:ascii="宋体" w:hAnsi="宋体" w:cs="宋体"/>
          <w:sz w:val="24"/>
          <w:szCs w:val="24"/>
          <w:u w:val="single"/>
          <w:lang w:val="en-US" w:eastAsia="zh-CN"/>
        </w:rPr>
        <w:t>套</w:t>
      </w:r>
      <w:r>
        <w:rPr>
          <w:rFonts w:hint="eastAsia" w:ascii="宋体" w:hAnsi="宋体" w:cs="宋体"/>
          <w:sz w:val="24"/>
          <w:szCs w:val="24"/>
        </w:rPr>
        <w:t>，</w:t>
      </w:r>
      <w:r>
        <w:rPr>
          <w:rFonts w:hint="eastAsia" w:ascii="宋体" w:hAnsi="宋体" w:cs="宋体"/>
          <w:sz w:val="24"/>
          <w:szCs w:val="24"/>
          <w:lang w:val="en-US" w:eastAsia="zh-CN"/>
        </w:rPr>
        <w:t>工作内容</w:t>
      </w:r>
      <w:r>
        <w:rPr>
          <w:rFonts w:hint="eastAsia" w:ascii="宋体" w:hAnsi="宋体" w:cs="宋体"/>
          <w:sz w:val="24"/>
          <w:szCs w:val="24"/>
        </w:rPr>
        <w:t>如下：</w:t>
      </w:r>
    </w:p>
    <w:p w14:paraId="1F913A0F">
      <w:pPr>
        <w:spacing w:line="360" w:lineRule="auto"/>
        <w:ind w:firstLine="480" w:firstLineChars="200"/>
        <w:jc w:val="both"/>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ascii="宋体" w:hAnsi="宋体" w:cs="宋体"/>
          <w:color w:val="000000" w:themeColor="text1"/>
          <w:sz w:val="24"/>
          <w:szCs w:val="24"/>
          <w:lang w:eastAsia="zh-CN"/>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提供一套大型</w:t>
      </w:r>
      <w:r>
        <w:rPr>
          <w:rFonts w:hint="eastAsia" w:ascii="宋体" w:hAnsi="宋体" w:cs="宋体"/>
          <w:color w:val="000000" w:themeColor="text1"/>
          <w:sz w:val="24"/>
          <w:szCs w:val="24"/>
          <w:lang w:val="en-US" w:eastAsia="zh-CN"/>
          <w14:textFill>
            <w14:solidFill>
              <w14:schemeClr w14:val="tx1"/>
            </w14:solidFill>
          </w14:textFill>
        </w:rPr>
        <w:t>饱水外棺定制浸泡池</w:t>
      </w:r>
      <w:r>
        <w:rPr>
          <w:rFonts w:hint="eastAsia" w:ascii="宋体" w:hAnsi="宋体" w:cs="宋体"/>
          <w:color w:val="000000" w:themeColor="text1"/>
          <w:sz w:val="24"/>
          <w:szCs w:val="24"/>
          <w:lang w:eastAsia="zh-CN"/>
          <w14:textFill>
            <w14:solidFill>
              <w14:schemeClr w14:val="tx1"/>
            </w14:solidFill>
          </w14:textFill>
        </w:rPr>
        <w:t>设计方案、实施方案、使用培训方案以及质保与售后服务方案。</w:t>
      </w:r>
    </w:p>
    <w:p w14:paraId="702F2D5B">
      <w:pPr>
        <w:spacing w:line="360" w:lineRule="auto"/>
        <w:ind w:firstLine="480" w:firstLineChars="200"/>
        <w:jc w:val="both"/>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ascii="宋体" w:hAnsi="宋体" w:cs="宋体"/>
          <w:color w:val="000000" w:themeColor="text1"/>
          <w:sz w:val="24"/>
          <w:szCs w:val="24"/>
          <w:lang w:eastAsia="zh-CN"/>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提供一套装置图纸，含概念效果图和</w:t>
      </w:r>
      <w:r>
        <w:rPr>
          <w:rFonts w:hint="eastAsia" w:ascii="宋体" w:hAnsi="宋体" w:cs="宋体"/>
          <w:color w:val="000000" w:themeColor="text1"/>
          <w:sz w:val="24"/>
          <w:szCs w:val="24"/>
          <w:lang w:val="en-US" w:eastAsia="zh-CN"/>
          <w14:textFill>
            <w14:solidFill>
              <w14:schemeClr w14:val="tx1"/>
            </w14:solidFill>
          </w14:textFill>
        </w:rPr>
        <w:t>平面布置图</w:t>
      </w:r>
      <w:r>
        <w:rPr>
          <w:rFonts w:hint="eastAsia" w:ascii="宋体" w:hAnsi="宋体" w:cs="宋体"/>
          <w:color w:val="000000" w:themeColor="text1"/>
          <w:sz w:val="24"/>
          <w:szCs w:val="24"/>
          <w:lang w:eastAsia="zh-CN"/>
          <w14:textFill>
            <w14:solidFill>
              <w14:schemeClr w14:val="tx1"/>
            </w14:solidFill>
          </w14:textFill>
        </w:rPr>
        <w:t>。</w:t>
      </w:r>
    </w:p>
    <w:p w14:paraId="74BDE8AF">
      <w:pPr>
        <w:ind w:firstLine="480" w:firstLineChars="20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ascii="宋体" w:hAnsi="宋体" w:cs="宋体"/>
          <w:color w:val="000000" w:themeColor="text1"/>
          <w:sz w:val="24"/>
          <w:szCs w:val="24"/>
          <w:lang w:eastAsia="zh-CN"/>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定制一套“</w:t>
      </w:r>
      <w:r>
        <w:rPr>
          <w:rFonts w:hint="eastAsia" w:ascii="宋体" w:hAnsi="宋体" w:cs="宋体"/>
          <w:color w:val="000000" w:themeColor="text1"/>
          <w:sz w:val="24"/>
          <w:szCs w:val="24"/>
          <w:lang w:val="en-US" w:eastAsia="zh-CN"/>
          <w14:textFill>
            <w14:solidFill>
              <w14:schemeClr w14:val="tx1"/>
            </w14:solidFill>
          </w14:textFill>
        </w:rPr>
        <w:t>外棺浸泡池</w:t>
      </w:r>
      <w:r>
        <w:rPr>
          <w:rFonts w:hint="eastAsia" w:ascii="宋体" w:hAnsi="宋体" w:cs="宋体"/>
          <w:color w:val="000000" w:themeColor="text1"/>
          <w:sz w:val="24"/>
          <w:szCs w:val="24"/>
          <w:lang w:eastAsia="zh-CN"/>
          <w14:textFill>
            <w14:solidFill>
              <w14:schemeClr w14:val="tx1"/>
            </w14:solidFill>
          </w14:textFill>
        </w:rPr>
        <w:t>”。包含以下组件：</w:t>
      </w:r>
    </w:p>
    <w:p w14:paraId="0F61A7D7">
      <w:pPr>
        <w:spacing w:line="360" w:lineRule="auto"/>
        <w:ind w:firstLine="480" w:firstLineChars="200"/>
        <w:jc w:val="both"/>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2.3.1</w:t>
      </w:r>
      <w:r>
        <w:rPr>
          <w:rFonts w:hint="eastAsia" w:ascii="宋体" w:hAnsi="宋体" w:cs="宋体"/>
          <w:color w:val="000000" w:themeColor="text1"/>
          <w:sz w:val="24"/>
          <w:szCs w:val="24"/>
          <w:lang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浸泡池</w:t>
      </w:r>
      <w:r>
        <w:rPr>
          <w:rFonts w:hint="eastAsia" w:ascii="宋体" w:hAnsi="宋体" w:cs="宋体"/>
          <w:color w:val="000000" w:themeColor="text1"/>
          <w:sz w:val="24"/>
          <w:szCs w:val="24"/>
          <w:lang w:eastAsia="zh-CN"/>
          <w14:textFill>
            <w14:solidFill>
              <w14:schemeClr w14:val="tx1"/>
            </w14:solidFill>
          </w14:textFill>
        </w:rPr>
        <w:t>：</w:t>
      </w:r>
    </w:p>
    <w:p w14:paraId="6F60D6AC">
      <w:pPr>
        <w:spacing w:line="360" w:lineRule="auto"/>
        <w:ind w:firstLine="480" w:firstLineChars="200"/>
        <w:jc w:val="both"/>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2.3.1.1</w:t>
      </w:r>
      <w:r>
        <w:rPr>
          <w:rFonts w:hint="eastAsia" w:ascii="宋体" w:hAnsi="宋体" w:cs="宋体"/>
          <w:color w:val="000000" w:themeColor="text1"/>
          <w:sz w:val="24"/>
          <w:szCs w:val="24"/>
          <w:lang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结构与材质</w:t>
      </w:r>
      <w:r>
        <w:rPr>
          <w:rFonts w:hint="eastAsia" w:ascii="宋体" w:hAnsi="宋体" w:cs="宋体"/>
          <w:color w:val="000000" w:themeColor="text1"/>
          <w:sz w:val="24"/>
          <w:szCs w:val="24"/>
          <w:lang w:eastAsia="zh-CN"/>
          <w14:textFill>
            <w14:solidFill>
              <w14:schemeClr w14:val="tx1"/>
            </w14:solidFill>
          </w14:textFill>
        </w:rPr>
        <w:t>：SUS304不锈钢承重框架+10mm厚PP聚丙烯内衬，1.2mm厚304不锈钢烤漆外壳，耐40%医药级乙二醛、酸碱盐溶液长期浸泡，无离子析出，适配饱水漆棺长期浸泡加固工艺；</w:t>
      </w:r>
    </w:p>
    <w:p w14:paraId="567DFBD6">
      <w:pPr>
        <w:spacing w:line="360" w:lineRule="auto"/>
        <w:ind w:firstLine="480" w:firstLineChars="200"/>
        <w:jc w:val="both"/>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2.3.1.</w:t>
      </w:r>
      <w:r>
        <w:rPr>
          <w:rFonts w:hint="eastAsia" w:ascii="宋体" w:hAnsi="宋体" w:cs="宋体"/>
          <w:color w:val="000000" w:themeColor="text1"/>
          <w:sz w:val="24"/>
          <w:szCs w:val="24"/>
          <w:lang w:eastAsia="zh-CN"/>
          <w14:textFill>
            <w14:solidFill>
              <w14:schemeClr w14:val="tx1"/>
            </w14:solidFill>
          </w14:textFill>
        </w:rPr>
        <w:t>2 规格与容量：共8</w:t>
      </w:r>
      <w:r>
        <w:rPr>
          <w:rFonts w:hint="eastAsia" w:ascii="宋体" w:hAnsi="宋体" w:cs="宋体"/>
          <w:color w:val="000000" w:themeColor="text1"/>
          <w:sz w:val="24"/>
          <w:szCs w:val="24"/>
          <w:lang w:val="en-US" w:eastAsia="zh-CN"/>
          <w14:textFill>
            <w14:solidFill>
              <w14:schemeClr w14:val="tx1"/>
            </w14:solidFill>
          </w14:textFill>
        </w:rPr>
        <w:t>个</w:t>
      </w:r>
      <w:r>
        <w:rPr>
          <w:rFonts w:hint="eastAsia" w:ascii="宋体" w:hAnsi="宋体" w:cs="宋体"/>
          <w:color w:val="000000" w:themeColor="text1"/>
          <w:sz w:val="24"/>
          <w:szCs w:val="24"/>
          <w:lang w:eastAsia="zh-CN"/>
          <w14:textFill>
            <w14:solidFill>
              <w14:schemeClr w14:val="tx1"/>
            </w14:solidFill>
          </w14:textFill>
        </w:rPr>
        <w:t>浸泡池。明细：3</w:t>
      </w:r>
      <w:r>
        <w:rPr>
          <w:rFonts w:hint="eastAsia" w:ascii="宋体" w:hAnsi="宋体" w:cs="宋体"/>
          <w:color w:val="000000" w:themeColor="text1"/>
          <w:sz w:val="24"/>
          <w:szCs w:val="24"/>
          <w:lang w:val="en-US" w:eastAsia="zh-CN"/>
          <w14:textFill>
            <w14:solidFill>
              <w14:schemeClr w14:val="tx1"/>
            </w14:solidFill>
          </w14:textFill>
        </w:rPr>
        <w:t>个</w:t>
      </w:r>
      <w:r>
        <w:rPr>
          <w:rFonts w:hint="eastAsia" w:ascii="宋体" w:hAnsi="宋体" w:cs="宋体"/>
          <w:color w:val="000000" w:themeColor="text1"/>
          <w:sz w:val="24"/>
          <w:szCs w:val="24"/>
          <w:lang w:eastAsia="zh-CN"/>
          <w14:textFill>
            <w14:solidFill>
              <w14:schemeClr w14:val="tx1"/>
            </w14:solidFill>
          </w14:textFill>
        </w:rPr>
        <w:t>（4000×1200×600mm）、2</w:t>
      </w:r>
      <w:r>
        <w:rPr>
          <w:rFonts w:hint="eastAsia" w:ascii="宋体" w:hAnsi="宋体" w:cs="宋体"/>
          <w:color w:val="000000" w:themeColor="text1"/>
          <w:sz w:val="24"/>
          <w:szCs w:val="24"/>
          <w:lang w:val="en-US" w:eastAsia="zh-CN"/>
          <w14:textFill>
            <w14:solidFill>
              <w14:schemeClr w14:val="tx1"/>
            </w14:solidFill>
          </w14:textFill>
        </w:rPr>
        <w:t>个</w:t>
      </w:r>
      <w:r>
        <w:rPr>
          <w:rFonts w:hint="eastAsia" w:ascii="宋体" w:hAnsi="宋体" w:cs="宋体"/>
          <w:color w:val="000000" w:themeColor="text1"/>
          <w:sz w:val="24"/>
          <w:szCs w:val="24"/>
          <w:lang w:eastAsia="zh-CN"/>
          <w14:textFill>
            <w14:solidFill>
              <w14:schemeClr w14:val="tx1"/>
            </w14:solidFill>
          </w14:textFill>
        </w:rPr>
        <w:t>（3600×1800×600mm）、2</w:t>
      </w:r>
      <w:r>
        <w:rPr>
          <w:rFonts w:hint="eastAsia" w:ascii="宋体" w:hAnsi="宋体" w:cs="宋体"/>
          <w:color w:val="000000" w:themeColor="text1"/>
          <w:sz w:val="24"/>
          <w:szCs w:val="24"/>
          <w:lang w:val="en-US" w:eastAsia="zh-CN"/>
          <w14:textFill>
            <w14:solidFill>
              <w14:schemeClr w14:val="tx1"/>
            </w14:solidFill>
          </w14:textFill>
        </w:rPr>
        <w:t>个</w:t>
      </w:r>
      <w:r>
        <w:rPr>
          <w:rFonts w:hint="eastAsia" w:ascii="宋体" w:hAnsi="宋体" w:cs="宋体"/>
          <w:color w:val="000000" w:themeColor="text1"/>
          <w:sz w:val="24"/>
          <w:szCs w:val="24"/>
          <w:lang w:eastAsia="zh-CN"/>
          <w14:textFill>
            <w14:solidFill>
              <w14:schemeClr w14:val="tx1"/>
            </w14:solidFill>
          </w14:textFill>
        </w:rPr>
        <w:t>（2700×1800×600mm）、1</w:t>
      </w:r>
      <w:r>
        <w:rPr>
          <w:rFonts w:hint="eastAsia" w:ascii="宋体" w:hAnsi="宋体" w:cs="宋体"/>
          <w:color w:val="000000" w:themeColor="text1"/>
          <w:sz w:val="24"/>
          <w:szCs w:val="24"/>
          <w:lang w:val="en-US" w:eastAsia="zh-CN"/>
          <w14:textFill>
            <w14:solidFill>
              <w14:schemeClr w14:val="tx1"/>
            </w14:solidFill>
          </w14:textFill>
        </w:rPr>
        <w:t>个</w:t>
      </w:r>
      <w:r>
        <w:rPr>
          <w:rFonts w:hint="eastAsia" w:ascii="宋体" w:hAnsi="宋体" w:cs="宋体"/>
          <w:color w:val="000000" w:themeColor="text1"/>
          <w:sz w:val="24"/>
          <w:szCs w:val="24"/>
          <w:lang w:eastAsia="zh-CN"/>
          <w14:textFill>
            <w14:solidFill>
              <w14:schemeClr w14:val="tx1"/>
            </w14:solidFill>
          </w14:textFill>
        </w:rPr>
        <w:t>（4000×3000×600mm 超大浸泡池，适配完整大型漆棺整体浸泡）；</w:t>
      </w:r>
    </w:p>
    <w:p w14:paraId="58629AA3">
      <w:pPr>
        <w:spacing w:line="360" w:lineRule="auto"/>
        <w:ind w:firstLine="480" w:firstLineChars="200"/>
        <w:jc w:val="both"/>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2.3.1.</w:t>
      </w:r>
      <w:r>
        <w:rPr>
          <w:rFonts w:hint="eastAsia" w:ascii="宋体" w:hAnsi="宋体" w:cs="宋体"/>
          <w:color w:val="000000" w:themeColor="text1"/>
          <w:sz w:val="24"/>
          <w:szCs w:val="24"/>
          <w:lang w:eastAsia="zh-CN"/>
          <w14:textFill>
            <w14:solidFill>
              <w14:schemeClr w14:val="tx1"/>
            </w14:solidFill>
          </w14:textFill>
        </w:rPr>
        <w:t xml:space="preserve">3 </w:t>
      </w:r>
      <w:r>
        <w:rPr>
          <w:rFonts w:hint="eastAsia" w:ascii="宋体" w:hAnsi="宋体" w:cs="宋体"/>
          <w:color w:val="000000" w:themeColor="text1"/>
          <w:sz w:val="24"/>
          <w:szCs w:val="24"/>
          <w:lang w:val="en-US" w:eastAsia="zh-CN"/>
          <w14:textFill>
            <w14:solidFill>
              <w14:schemeClr w14:val="tx1"/>
            </w14:solidFill>
          </w14:textFill>
        </w:rPr>
        <w:t>结构与要求</w:t>
      </w:r>
      <w:r>
        <w:rPr>
          <w:rFonts w:hint="eastAsia" w:ascii="宋体" w:hAnsi="宋体" w:cs="宋体"/>
          <w:color w:val="000000" w:themeColor="text1"/>
          <w:sz w:val="24"/>
          <w:szCs w:val="24"/>
          <w:lang w:eastAsia="zh-CN"/>
          <w14:textFill>
            <w14:solidFill>
              <w14:schemeClr w14:val="tx1"/>
            </w14:solidFill>
          </w14:textFill>
        </w:rPr>
        <w:t>：池体底部100mm架空层，药液循环均匀；整体承重≥1吨/㎡；焊缝全密封无渗漏；顶盖内置保温层，避光防尘。</w:t>
      </w:r>
    </w:p>
    <w:p w14:paraId="53631C28">
      <w:pPr>
        <w:spacing w:line="360" w:lineRule="auto"/>
        <w:ind w:firstLine="480" w:firstLineChars="200"/>
        <w:jc w:val="both"/>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2.3.2</w:t>
      </w:r>
      <w:r>
        <w:rPr>
          <w:rFonts w:hint="eastAsia" w:ascii="宋体" w:hAnsi="宋体" w:cs="宋体"/>
          <w:color w:val="000000" w:themeColor="text1"/>
          <w:sz w:val="24"/>
          <w:szCs w:val="24"/>
          <w:lang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智能在线监测系统</w:t>
      </w:r>
      <w:r>
        <w:rPr>
          <w:rFonts w:hint="eastAsia" w:ascii="宋体" w:hAnsi="宋体" w:cs="宋体"/>
          <w:color w:val="000000" w:themeColor="text1"/>
          <w:sz w:val="24"/>
          <w:szCs w:val="24"/>
          <w:lang w:eastAsia="zh-CN"/>
          <w14:textFill>
            <w14:solidFill>
              <w14:schemeClr w14:val="tx1"/>
            </w14:solidFill>
          </w14:textFill>
        </w:rPr>
        <w:t>：8套，一池一控，每套独立电控箱，配置控制屏操作；配套三类专用传感器：</w:t>
      </w:r>
      <w:r>
        <w:rPr>
          <w:rFonts w:hint="eastAsia" w:ascii="宋体" w:hAnsi="宋体" w:cs="宋体"/>
          <w:color w:val="000000" w:themeColor="text1"/>
          <w:sz w:val="24"/>
          <w:szCs w:val="24"/>
          <w:lang w:val="en-US" w:eastAsia="zh-CN"/>
          <w14:textFill>
            <w14:solidFill>
              <w14:schemeClr w14:val="tx1"/>
            </w14:solidFill>
          </w14:textFill>
        </w:rPr>
        <w:t>温度传感器（0</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80℃）</w:t>
      </w:r>
      <w:r>
        <w:rPr>
          <w:rFonts w:hint="eastAsia" w:ascii="宋体" w:hAnsi="宋体" w:cs="宋体"/>
          <w:color w:val="000000" w:themeColor="text1"/>
          <w:sz w:val="24"/>
          <w:szCs w:val="24"/>
          <w:lang w:eastAsia="zh-CN"/>
          <w14:textFill>
            <w14:solidFill>
              <w14:schemeClr w14:val="tx1"/>
            </w14:solidFill>
          </w14:textFill>
        </w:rPr>
        <w:t>、PH酸碱度传感器（量程2~12PH）、比重传感器（量程0~5g/cm³）。浸泡池内所有监测数据实时自动上传云端永久存储，手机/网页端可实时查看、设置浓度报警阈值、导出完整历史数据报表，满足文物修复档案归档要求。</w:t>
      </w:r>
    </w:p>
    <w:p w14:paraId="5E989EC1">
      <w:pPr>
        <w:spacing w:line="360" w:lineRule="auto"/>
        <w:ind w:firstLine="480" w:firstLineChars="200"/>
        <w:jc w:val="both"/>
        <w:rPr>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定制产品参数满足甲方需求，运行效果达到甲方要求，完成后向甲方</w:t>
      </w:r>
      <w:r>
        <w:rPr>
          <w:color w:val="000000" w:themeColor="text1"/>
          <w:sz w:val="24"/>
          <w:szCs w:val="24"/>
          <w:lang w:eastAsia="zh-CN"/>
          <w14:textFill>
            <w14:solidFill>
              <w14:schemeClr w14:val="tx1"/>
            </w14:solidFill>
          </w14:textFill>
        </w:rPr>
        <w:t>按时提交原始</w:t>
      </w:r>
      <w:r>
        <w:rPr>
          <w:rFonts w:hint="eastAsia"/>
          <w:color w:val="000000" w:themeColor="text1"/>
          <w:sz w:val="24"/>
          <w:szCs w:val="24"/>
          <w:lang w:eastAsia="zh-CN"/>
          <w14:textFill>
            <w14:solidFill>
              <w14:schemeClr w14:val="tx1"/>
            </w14:solidFill>
          </w14:textFill>
        </w:rPr>
        <w:t>设计方案</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设计图纸以及</w:t>
      </w:r>
      <w:r>
        <w:rPr>
          <w:rFonts w:hint="eastAsia"/>
          <w:color w:val="000000" w:themeColor="text1"/>
          <w:sz w:val="24"/>
          <w:szCs w:val="24"/>
          <w:lang w:val="en-US" w:eastAsia="zh-CN"/>
          <w14:textFill>
            <w14:solidFill>
              <w14:schemeClr w14:val="tx1"/>
            </w14:solidFill>
          </w14:textFill>
        </w:rPr>
        <w:t>装置</w:t>
      </w:r>
      <w:r>
        <w:rPr>
          <w:color w:val="000000" w:themeColor="text1"/>
          <w:sz w:val="24"/>
          <w:szCs w:val="24"/>
          <w:lang w:eastAsia="zh-CN"/>
          <w14:textFill>
            <w14:solidFill>
              <w14:schemeClr w14:val="tx1"/>
            </w14:solidFill>
          </w14:textFill>
        </w:rPr>
        <w:t>操作</w:t>
      </w:r>
      <w:r>
        <w:rPr>
          <w:rFonts w:hint="eastAsia"/>
          <w:color w:val="000000" w:themeColor="text1"/>
          <w:sz w:val="24"/>
          <w:szCs w:val="24"/>
          <w:lang w:eastAsia="zh-CN"/>
          <w14:textFill>
            <w14:solidFill>
              <w14:schemeClr w14:val="tx1"/>
            </w14:solidFill>
          </w14:textFill>
        </w:rPr>
        <w:t>流程文件</w:t>
      </w:r>
      <w:r>
        <w:rPr>
          <w:color w:val="000000" w:themeColor="text1"/>
          <w:sz w:val="24"/>
          <w:szCs w:val="24"/>
          <w:lang w:eastAsia="zh-CN"/>
          <w14:textFill>
            <w14:solidFill>
              <w14:schemeClr w14:val="tx1"/>
            </w14:solidFill>
          </w14:textFill>
        </w:rPr>
        <w:t>。</w:t>
      </w:r>
    </w:p>
    <w:p w14:paraId="7831D5DE">
      <w:pPr>
        <w:spacing w:line="360" w:lineRule="auto"/>
        <w:ind w:firstLine="480" w:firstLineChars="200"/>
        <w:jc w:val="both"/>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2.3.3</w:t>
      </w:r>
      <w:r>
        <w:rPr>
          <w:rFonts w:hint="eastAsia" w:ascii="宋体" w:hAnsi="宋体" w:cs="宋体"/>
          <w:color w:val="000000" w:themeColor="text1"/>
          <w:sz w:val="24"/>
          <w:szCs w:val="24"/>
          <w:lang w:val="en-US" w:eastAsia="zh-CN"/>
          <w14:textFill>
            <w14:solidFill>
              <w14:schemeClr w14:val="tx1"/>
            </w14:solidFill>
          </w14:textFill>
        </w:rPr>
        <w:t>耐酸碱文物放置架：54套。材质为碳钢骨架外包PP防腐层，规格明细：18套（1200×600×200mm）、20套（1800×600×200mm）、16套（1500×600×200mm）。</w:t>
      </w:r>
    </w:p>
    <w:p w14:paraId="1DE60288">
      <w:pPr>
        <w:spacing w:line="360" w:lineRule="auto"/>
        <w:ind w:firstLine="480" w:firstLineChars="200"/>
        <w:jc w:val="both"/>
        <w:rPr>
          <w:rFonts w:hint="eastAsia" w:ascii="宋体" w:hAnsi="宋体" w:cs="宋体"/>
          <w:color w:val="000000" w:themeColor="text1"/>
          <w:sz w:val="24"/>
          <w:szCs w:val="24"/>
          <w:lang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2.3.4</w:t>
      </w:r>
      <w:r>
        <w:rPr>
          <w:rFonts w:hint="eastAsia" w:ascii="宋体" w:hAnsi="宋体" w:cs="宋体"/>
          <w:color w:val="000000" w:themeColor="text1"/>
          <w:sz w:val="24"/>
          <w:szCs w:val="24"/>
          <w:lang w:eastAsia="zh-CN"/>
          <w14:textFill>
            <w14:solidFill>
              <w14:schemeClr w14:val="tx1"/>
            </w14:solidFill>
          </w14:textFill>
        </w:rPr>
        <w:t>配套管路辅材：</w:t>
      </w:r>
      <w:r>
        <w:rPr>
          <w:rFonts w:hint="eastAsia" w:ascii="宋体" w:hAnsi="宋体" w:cs="宋体"/>
          <w:color w:val="000000" w:themeColor="text1"/>
          <w:sz w:val="24"/>
          <w:szCs w:val="24"/>
          <w:lang w:val="en-US" w:eastAsia="zh-CN"/>
          <w14:textFill>
            <w14:solidFill>
              <w14:schemeClr w14:val="tx1"/>
            </w14:solidFill>
          </w14:textFill>
        </w:rPr>
        <w:t>统一铺设纯水供水管道和废水排水管，</w:t>
      </w:r>
      <w:r>
        <w:rPr>
          <w:rFonts w:hint="eastAsia" w:ascii="宋体" w:hAnsi="宋体" w:cs="宋体"/>
          <w:color w:val="000000" w:themeColor="text1"/>
          <w:sz w:val="24"/>
          <w:szCs w:val="24"/>
          <w:lang w:eastAsia="zh-CN"/>
          <w14:textFill>
            <w14:solidFill>
              <w14:schemeClr w14:val="tx1"/>
            </w14:solidFill>
          </w14:textFill>
        </w:rPr>
        <w:t>所有接头、密封件耐乙二醛腐蚀。</w:t>
      </w:r>
    </w:p>
    <w:p w14:paraId="56A2B216">
      <w:pPr>
        <w:spacing w:line="360" w:lineRule="auto"/>
        <w:ind w:firstLine="480" w:firstLineChars="200"/>
        <w:jc w:val="both"/>
        <w:rPr>
          <w:rFonts w:hint="default" w:ascii="宋体" w:hAnsi="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lang w:val="en-US" w:eastAsia="zh-CN"/>
          <w14:textFill>
            <w14:solidFill>
              <w14:schemeClr w14:val="tx1"/>
            </w14:solidFill>
          </w14:textFill>
        </w:rPr>
        <w:t>定制产品满足甲方需求，运行效果达到甲方要求，测试完成后向甲方按时提交原始设计方案、设计图纸以及装置操作流程文件。</w:t>
      </w:r>
    </w:p>
    <w:p w14:paraId="4A27B97B">
      <w:pPr>
        <w:spacing w:line="360" w:lineRule="auto"/>
        <w:ind w:firstLine="720" w:firstLineChars="300"/>
        <w:rPr>
          <w:rFonts w:hint="eastAsia" w:ascii="宋体" w:hAnsi="宋体"/>
          <w:sz w:val="24"/>
        </w:rPr>
      </w:pPr>
    </w:p>
    <w:p w14:paraId="139A130E">
      <w:pPr>
        <w:snapToGrid w:val="0"/>
        <w:spacing w:line="360" w:lineRule="auto"/>
        <w:ind w:firstLine="720"/>
        <w:rPr>
          <w:rFonts w:ascii="宋体" w:hAnsi="宋体" w:cs="宋体"/>
          <w:sz w:val="24"/>
          <w:szCs w:val="24"/>
          <w:u w:val="single"/>
        </w:rPr>
      </w:pPr>
      <w:r>
        <w:rPr>
          <w:rFonts w:hint="eastAsia" w:ascii="宋体" w:hAnsi="宋体" w:cs="宋体"/>
          <w:sz w:val="24"/>
          <w:szCs w:val="24"/>
          <w:u w:val="single"/>
        </w:rPr>
        <w:t>货物的采购要求：产品质量符合国家标准及产品质量三包规定，提供产品质量保证承诺书（自拟加盖公章）或《产品合格证》、《质量保证书》、《质量检验报告》。</w:t>
      </w:r>
    </w:p>
    <w:p w14:paraId="1C359346">
      <w:pPr>
        <w:snapToGrid w:val="0"/>
        <w:spacing w:line="360" w:lineRule="auto"/>
        <w:ind w:firstLine="482" w:firstLineChars="200"/>
        <w:rPr>
          <w:rFonts w:ascii="宋体" w:hAnsi="宋体" w:cs="宋体"/>
          <w:sz w:val="24"/>
          <w:szCs w:val="24"/>
        </w:rPr>
      </w:pPr>
      <w:r>
        <w:rPr>
          <w:rFonts w:hint="eastAsia" w:ascii="宋体" w:hAnsi="宋体" w:cs="宋体"/>
          <w:b/>
          <w:sz w:val="24"/>
          <w:szCs w:val="24"/>
        </w:rPr>
        <w:t>3. 合同价款</w:t>
      </w:r>
    </w:p>
    <w:p w14:paraId="0AE2A341">
      <w:pPr>
        <w:snapToGrid w:val="0"/>
        <w:spacing w:line="360" w:lineRule="auto"/>
        <w:ind w:firstLine="480" w:firstLineChars="200"/>
        <w:rPr>
          <w:rFonts w:ascii="宋体" w:hAnsi="宋体" w:cs="宋体"/>
          <w:sz w:val="24"/>
          <w:szCs w:val="24"/>
        </w:rPr>
      </w:pPr>
      <w:r>
        <w:rPr>
          <w:rFonts w:hint="eastAsia" w:ascii="宋体" w:hAnsi="宋体" w:cs="宋体"/>
          <w:sz w:val="24"/>
          <w:szCs w:val="24"/>
        </w:rPr>
        <w:t>本合同</w:t>
      </w:r>
      <w:r>
        <w:rPr>
          <w:rFonts w:hint="eastAsia" w:ascii="宋体" w:hAnsi="宋体" w:cs="宋体"/>
          <w:sz w:val="24"/>
          <w:szCs w:val="24"/>
          <w:u w:val="single"/>
        </w:rPr>
        <w:t>总价</w:t>
      </w:r>
      <w:r>
        <w:rPr>
          <w:rFonts w:hint="eastAsia" w:ascii="宋体" w:hAnsi="宋体" w:cs="宋体"/>
          <w:sz w:val="24"/>
          <w:szCs w:val="24"/>
        </w:rPr>
        <w:t>为大写人民币</w:t>
      </w:r>
      <w:r>
        <w:rPr>
          <w:rFonts w:hint="eastAsia" w:ascii="宋体" w:hAnsi="宋体" w:cs="宋体"/>
          <w:sz w:val="24"/>
          <w:szCs w:val="24"/>
          <w:u w:val="single"/>
        </w:rPr>
        <w:t xml:space="preserve">      </w:t>
      </w:r>
      <w:r>
        <w:rPr>
          <w:rFonts w:hint="eastAsia" w:ascii="宋体" w:hAnsi="宋体" w:cs="宋体"/>
          <w:sz w:val="24"/>
          <w:szCs w:val="24"/>
        </w:rPr>
        <w:t>元整（￥</w:t>
      </w:r>
      <w:r>
        <w:rPr>
          <w:rFonts w:hint="eastAsia" w:ascii="宋体" w:hAnsi="宋体" w:cs="宋体"/>
          <w:sz w:val="24"/>
          <w:szCs w:val="24"/>
          <w:u w:val="single"/>
        </w:rPr>
        <w:t xml:space="preserve">      .00</w:t>
      </w:r>
      <w:r>
        <w:rPr>
          <w:rFonts w:hint="eastAsia" w:ascii="宋体" w:hAnsi="宋体" w:cs="宋体"/>
          <w:sz w:val="24"/>
          <w:szCs w:val="24"/>
        </w:rPr>
        <w:t>元）。</w:t>
      </w:r>
    </w:p>
    <w:p w14:paraId="3B27EBA2">
      <w:pPr>
        <w:snapToGrid w:val="0"/>
        <w:spacing w:line="360" w:lineRule="auto"/>
        <w:ind w:firstLine="480" w:firstLineChars="200"/>
        <w:rPr>
          <w:rFonts w:ascii="宋体" w:hAnsi="宋体" w:cs="宋体"/>
          <w:sz w:val="24"/>
          <w:szCs w:val="24"/>
          <w:u w:val="single"/>
        </w:rPr>
      </w:pPr>
    </w:p>
    <w:p w14:paraId="3E90AAE2">
      <w:pPr>
        <w:snapToGrid w:val="0"/>
        <w:spacing w:line="360" w:lineRule="auto"/>
        <w:ind w:firstLine="482" w:firstLineChars="200"/>
        <w:rPr>
          <w:rFonts w:ascii="宋体" w:hAnsi="宋体" w:cs="宋体"/>
          <w:sz w:val="24"/>
          <w:szCs w:val="24"/>
        </w:rPr>
      </w:pPr>
      <w:r>
        <w:rPr>
          <w:rFonts w:hint="eastAsia" w:ascii="宋体" w:hAnsi="宋体" w:cs="宋体"/>
          <w:b/>
          <w:sz w:val="24"/>
          <w:szCs w:val="24"/>
        </w:rPr>
        <w:t>4. 付款方式</w:t>
      </w:r>
    </w:p>
    <w:p w14:paraId="3E8F4285">
      <w:pPr>
        <w:snapToGrid w:val="0"/>
        <w:spacing w:line="360" w:lineRule="auto"/>
        <w:ind w:firstLine="480" w:firstLineChars="200"/>
        <w:rPr>
          <w:rFonts w:ascii="宋体" w:hAnsi="宋体" w:cs="宋体"/>
          <w:sz w:val="24"/>
          <w:szCs w:val="24"/>
        </w:rPr>
      </w:pPr>
      <w:r>
        <w:rPr>
          <w:rFonts w:hint="eastAsia" w:ascii="宋体" w:hAnsi="宋体" w:cs="宋体"/>
          <w:sz w:val="24"/>
          <w:szCs w:val="24"/>
        </w:rPr>
        <w:t>本合同的付款方式为：</w:t>
      </w:r>
    </w:p>
    <w:p w14:paraId="547226D3">
      <w:pPr>
        <w:snapToGrid w:val="0"/>
        <w:spacing w:line="360" w:lineRule="auto"/>
        <w:ind w:firstLine="480" w:firstLineChars="200"/>
        <w:rPr>
          <w:rFonts w:ascii="宋体" w:hAnsi="宋体" w:cs="宋体"/>
          <w:sz w:val="24"/>
          <w:szCs w:val="24"/>
        </w:rPr>
      </w:pPr>
      <w:r>
        <w:rPr>
          <w:rFonts w:hint="eastAsia" w:ascii="宋体" w:hAnsi="宋体" w:cs="宋体"/>
          <w:sz w:val="24"/>
          <w:szCs w:val="24"/>
        </w:rPr>
        <w:t>签订合同后5个工作日内，乙方向甲方支付合同总价5%的履约保证金，计</w:t>
      </w:r>
      <w:r>
        <w:rPr>
          <w:rFonts w:hint="eastAsia" w:ascii="宋体" w:hAnsi="宋体" w:cs="宋体"/>
          <w:sz w:val="24"/>
          <w:szCs w:val="24"/>
          <w:u w:val="single"/>
        </w:rPr>
        <w:t>￥      .00元</w:t>
      </w:r>
      <w:r>
        <w:rPr>
          <w:rFonts w:hint="eastAsia" w:ascii="宋体" w:hAnsi="宋体" w:cs="宋体"/>
          <w:sz w:val="24"/>
          <w:szCs w:val="24"/>
        </w:rPr>
        <w:t>，在甲方收到履约保证金后合同生效。</w:t>
      </w:r>
    </w:p>
    <w:p w14:paraId="37E99B7D">
      <w:pPr>
        <w:snapToGrid w:val="0"/>
        <w:spacing w:line="360" w:lineRule="auto"/>
        <w:ind w:firstLine="480" w:firstLineChars="200"/>
        <w:rPr>
          <w:rFonts w:ascii="宋体" w:hAnsi="宋体" w:cs="宋体"/>
          <w:sz w:val="24"/>
          <w:szCs w:val="24"/>
        </w:rPr>
      </w:pPr>
      <w:r>
        <w:rPr>
          <w:rFonts w:hint="eastAsia" w:ascii="宋体" w:hAnsi="宋体" w:cs="宋体"/>
          <w:sz w:val="24"/>
          <w:szCs w:val="24"/>
        </w:rPr>
        <w:t>合同生效后10个工作日内，甲方向乙方支付合同总价的70%货款，计￥</w:t>
      </w:r>
      <w:r>
        <w:rPr>
          <w:rFonts w:hint="eastAsia" w:ascii="宋体" w:hAnsi="宋体" w:cs="宋体"/>
          <w:sz w:val="24"/>
          <w:szCs w:val="24"/>
          <w:u w:val="single"/>
        </w:rPr>
        <w:t xml:space="preserve">      .00</w:t>
      </w:r>
      <w:r>
        <w:rPr>
          <w:rFonts w:hint="eastAsia" w:ascii="宋体" w:hAnsi="宋体" w:cs="宋体"/>
          <w:sz w:val="24"/>
          <w:szCs w:val="24"/>
        </w:rPr>
        <w:t>元；货物到达甲方指定地点现场，安装、调试合格并通过甲方验收后15个工作日内，甲方向乙方支付合同总价的30%货款，计￥</w:t>
      </w:r>
      <w:r>
        <w:rPr>
          <w:rFonts w:hint="eastAsia" w:ascii="宋体" w:hAnsi="宋体" w:cs="宋体"/>
          <w:sz w:val="24"/>
          <w:szCs w:val="24"/>
          <w:u w:val="single"/>
        </w:rPr>
        <w:t xml:space="preserve">      .00</w:t>
      </w:r>
      <w:r>
        <w:rPr>
          <w:rFonts w:hint="eastAsia" w:ascii="宋体" w:hAnsi="宋体" w:cs="宋体"/>
          <w:sz w:val="24"/>
          <w:szCs w:val="24"/>
        </w:rPr>
        <w:t>元。乙方向甲方支付合同总价5%的履约保证金转为质量保证金，待质保期满后甲方向乙方无息退还质量保证金。</w:t>
      </w:r>
    </w:p>
    <w:p w14:paraId="61D73D6A">
      <w:pPr>
        <w:widowControl/>
        <w:spacing w:line="360" w:lineRule="auto"/>
        <w:ind w:firstLine="480" w:firstLineChars="200"/>
        <w:rPr>
          <w:rFonts w:ascii="宋体" w:hAnsi="宋体" w:cs="宋体"/>
          <w:kern w:val="0"/>
          <w:sz w:val="24"/>
          <w:szCs w:val="24"/>
        </w:rPr>
      </w:pPr>
      <w:r>
        <w:rPr>
          <w:rFonts w:hint="eastAsia" w:ascii="宋体" w:hAnsi="宋体" w:cs="宋体"/>
          <w:kern w:val="0"/>
          <w:sz w:val="24"/>
          <w:szCs w:val="24"/>
        </w:rPr>
        <w:t>甲方如</w:t>
      </w:r>
      <w:r>
        <w:rPr>
          <w:rFonts w:hint="eastAsia" w:ascii="宋体" w:hAnsi="宋体" w:cs="宋体"/>
          <w:sz w:val="24"/>
          <w:szCs w:val="24"/>
        </w:rPr>
        <w:t>需追加与合同标的相同的货物，</w:t>
      </w:r>
      <w:r>
        <w:rPr>
          <w:rFonts w:hint="eastAsia" w:ascii="宋体" w:hAnsi="宋体" w:cs="宋体"/>
          <w:kern w:val="0"/>
          <w:sz w:val="24"/>
          <w:szCs w:val="24"/>
        </w:rPr>
        <w:t>在本合同金额10%以内的，</w:t>
      </w:r>
      <w:r>
        <w:rPr>
          <w:rFonts w:hint="eastAsia" w:ascii="宋体" w:hAnsi="宋体" w:cs="宋体"/>
          <w:sz w:val="24"/>
          <w:szCs w:val="24"/>
        </w:rPr>
        <w:t>在不改变合同其他条款的前提下，可以与供应商协商签订补充合同，但所有补充合同的采购金额不得超过原合同采购金额的百分之十。</w:t>
      </w:r>
    </w:p>
    <w:p w14:paraId="1E1D3E61">
      <w:pPr>
        <w:snapToGrid w:val="0"/>
        <w:spacing w:line="360" w:lineRule="auto"/>
        <w:ind w:firstLine="480" w:firstLineChars="200"/>
        <w:rPr>
          <w:rFonts w:ascii="宋体" w:hAnsi="宋体" w:cs="宋体"/>
          <w:sz w:val="24"/>
          <w:szCs w:val="24"/>
        </w:rPr>
      </w:pPr>
    </w:p>
    <w:p w14:paraId="39D48F59">
      <w:pPr>
        <w:numPr>
          <w:ilvl w:val="0"/>
          <w:numId w:val="1"/>
        </w:numPr>
        <w:snapToGrid w:val="0"/>
        <w:spacing w:line="360" w:lineRule="auto"/>
        <w:ind w:firstLine="482" w:firstLineChars="200"/>
        <w:rPr>
          <w:rFonts w:ascii="宋体" w:hAnsi="宋体" w:cs="宋体"/>
          <w:b/>
          <w:sz w:val="24"/>
          <w:szCs w:val="24"/>
        </w:rPr>
      </w:pPr>
      <w:r>
        <w:rPr>
          <w:rFonts w:hint="eastAsia" w:ascii="宋体" w:hAnsi="宋体" w:cs="宋体"/>
          <w:b/>
          <w:sz w:val="24"/>
          <w:szCs w:val="24"/>
        </w:rPr>
        <w:t>本合同货物的交货时间及交货地点</w:t>
      </w:r>
    </w:p>
    <w:p w14:paraId="789F4866">
      <w:pPr>
        <w:snapToGrid w:val="0"/>
        <w:spacing w:line="360" w:lineRule="auto"/>
        <w:ind w:firstLine="480" w:firstLineChars="200"/>
        <w:rPr>
          <w:rFonts w:ascii="宋体" w:hAnsi="宋体" w:cs="宋体"/>
          <w:sz w:val="24"/>
          <w:szCs w:val="24"/>
        </w:rPr>
      </w:pPr>
      <w:r>
        <w:rPr>
          <w:rFonts w:hint="eastAsia" w:ascii="宋体" w:hAnsi="宋体" w:cs="宋体"/>
          <w:sz w:val="24"/>
          <w:szCs w:val="24"/>
        </w:rPr>
        <w:t>交货时间：合同签订后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6</w:t>
      </w:r>
      <w:r>
        <w:rPr>
          <w:rFonts w:ascii="宋体" w:hAnsi="宋体" w:cs="宋体"/>
          <w:sz w:val="24"/>
          <w:szCs w:val="24"/>
          <w:u w:val="single"/>
        </w:rPr>
        <w:t>0</w:t>
      </w:r>
      <w:r>
        <w:rPr>
          <w:rFonts w:hint="eastAsia" w:ascii="宋体" w:hAnsi="宋体" w:cs="宋体"/>
          <w:sz w:val="24"/>
          <w:szCs w:val="24"/>
          <w:u w:val="single"/>
        </w:rPr>
        <w:t xml:space="preserve"> </w:t>
      </w:r>
      <w:r>
        <w:rPr>
          <w:rFonts w:hint="eastAsia" w:ascii="宋体" w:hAnsi="宋体" w:cs="宋体"/>
          <w:sz w:val="24"/>
          <w:szCs w:val="24"/>
        </w:rPr>
        <w:t>天（自然日）内。</w:t>
      </w:r>
    </w:p>
    <w:p w14:paraId="36EAC827">
      <w:pPr>
        <w:snapToGrid w:val="0"/>
        <w:spacing w:line="360" w:lineRule="auto"/>
        <w:ind w:left="480"/>
        <w:rPr>
          <w:rFonts w:ascii="宋体" w:hAnsi="宋体" w:cs="宋体"/>
          <w:sz w:val="24"/>
          <w:szCs w:val="24"/>
          <w:u w:val="single"/>
        </w:rPr>
      </w:pPr>
      <w:r>
        <w:rPr>
          <w:rFonts w:hint="eastAsia" w:ascii="宋体" w:hAnsi="宋体" w:cs="宋体"/>
          <w:sz w:val="24"/>
          <w:szCs w:val="24"/>
        </w:rPr>
        <w:t>交货地点：</w:t>
      </w:r>
      <w:r>
        <w:rPr>
          <w:rFonts w:hint="eastAsia" w:ascii="宋体" w:hAnsi="宋体" w:cs="宋体"/>
          <w:sz w:val="24"/>
          <w:szCs w:val="24"/>
          <w:lang w:val="en-US" w:eastAsia="zh-CN"/>
        </w:rPr>
        <w:t>安徽</w:t>
      </w:r>
      <w:r>
        <w:rPr>
          <w:rFonts w:hint="eastAsia" w:ascii="宋体" w:hAnsi="宋体" w:cs="宋体"/>
          <w:sz w:val="24"/>
          <w:szCs w:val="24"/>
          <w:u w:val="single"/>
        </w:rPr>
        <w:t>省</w:t>
      </w:r>
      <w:r>
        <w:rPr>
          <w:rFonts w:hint="eastAsia" w:ascii="宋体" w:hAnsi="宋体" w:cs="宋体"/>
          <w:sz w:val="24"/>
          <w:szCs w:val="24"/>
          <w:u w:val="single"/>
          <w:lang w:val="en-US" w:eastAsia="zh-CN"/>
        </w:rPr>
        <w:t>淮南</w:t>
      </w:r>
      <w:r>
        <w:rPr>
          <w:rFonts w:hint="eastAsia" w:ascii="宋体" w:hAnsi="宋体" w:cs="宋体"/>
          <w:sz w:val="24"/>
          <w:szCs w:val="24"/>
          <w:u w:val="single"/>
        </w:rPr>
        <w:t>市</w:t>
      </w:r>
      <w:r>
        <w:rPr>
          <w:rFonts w:hint="eastAsia" w:ascii="宋体" w:hAnsi="宋体" w:cs="宋体"/>
          <w:sz w:val="24"/>
          <w:szCs w:val="24"/>
          <w:u w:val="single"/>
          <w:lang w:val="en-US" w:eastAsia="zh-CN"/>
        </w:rPr>
        <w:t>武王墩考古大棚</w:t>
      </w:r>
      <w:r>
        <w:rPr>
          <w:rFonts w:hint="eastAsia" w:ascii="宋体" w:hAnsi="宋体" w:cs="宋体"/>
          <w:sz w:val="24"/>
          <w:szCs w:val="24"/>
          <w:u w:val="single"/>
        </w:rPr>
        <w:t>。</w:t>
      </w:r>
    </w:p>
    <w:p w14:paraId="61F77BE5">
      <w:pPr>
        <w:snapToGrid w:val="0"/>
        <w:spacing w:line="360" w:lineRule="auto"/>
        <w:ind w:left="480"/>
        <w:rPr>
          <w:rFonts w:ascii="宋体" w:hAnsi="宋体" w:cs="宋体"/>
          <w:sz w:val="24"/>
          <w:szCs w:val="24"/>
          <w:u w:val="single"/>
        </w:rPr>
      </w:pPr>
      <w:r>
        <w:rPr>
          <w:rFonts w:hint="eastAsia" w:ascii="宋体" w:hAnsi="宋体" w:cs="宋体"/>
          <w:sz w:val="24"/>
          <w:szCs w:val="24"/>
          <w:u w:val="single"/>
        </w:rPr>
        <w:t>交货方式：现场交货。</w:t>
      </w:r>
    </w:p>
    <w:p w14:paraId="05228C3F">
      <w:pPr>
        <w:pStyle w:val="25"/>
        <w:snapToGrid w:val="0"/>
        <w:spacing w:line="360" w:lineRule="auto"/>
        <w:ind w:firstLine="480"/>
        <w:rPr>
          <w:rFonts w:ascii="宋体" w:hAnsi="宋体" w:cs="宋体"/>
          <w:sz w:val="24"/>
          <w:szCs w:val="24"/>
          <w:u w:val="single"/>
        </w:rPr>
      </w:pPr>
      <w:r>
        <w:rPr>
          <w:rFonts w:hint="eastAsia" w:ascii="宋体" w:hAnsi="宋体" w:cs="宋体"/>
          <w:sz w:val="24"/>
          <w:szCs w:val="24"/>
          <w:u w:val="single"/>
        </w:rPr>
        <w:t>乙方提供产品安装、调试以及培训服务，实现所有设备达到采购需求规定的参数规格正常运行。</w:t>
      </w:r>
    </w:p>
    <w:p w14:paraId="0AB27A93">
      <w:pPr>
        <w:snapToGrid w:val="0"/>
        <w:spacing w:line="360" w:lineRule="auto"/>
        <w:ind w:firstLine="482" w:firstLineChars="200"/>
        <w:rPr>
          <w:rFonts w:ascii="宋体" w:hAnsi="宋体" w:cs="宋体"/>
          <w:sz w:val="24"/>
          <w:szCs w:val="24"/>
        </w:rPr>
      </w:pPr>
      <w:r>
        <w:rPr>
          <w:rFonts w:hint="eastAsia" w:ascii="宋体" w:hAnsi="宋体" w:cs="宋体"/>
          <w:b/>
          <w:sz w:val="24"/>
          <w:szCs w:val="24"/>
        </w:rPr>
        <w:t>6. 合同的生效</w:t>
      </w:r>
    </w:p>
    <w:p w14:paraId="699B5D1E">
      <w:pPr>
        <w:snapToGrid w:val="0"/>
        <w:spacing w:line="360" w:lineRule="auto"/>
        <w:ind w:firstLine="482" w:firstLineChars="200"/>
        <w:rPr>
          <w:rFonts w:ascii="宋体" w:hAnsi="宋体" w:cs="宋体"/>
          <w:sz w:val="24"/>
          <w:szCs w:val="24"/>
        </w:rPr>
      </w:pPr>
      <w:r>
        <w:rPr>
          <w:rFonts w:hint="eastAsia" w:ascii="宋体" w:hAnsi="宋体" w:cs="宋体"/>
          <w:b/>
          <w:sz w:val="24"/>
          <w:szCs w:val="24"/>
        </w:rPr>
        <w:t>本合同一式伍份，甲方执三份，乙方执两份</w:t>
      </w:r>
      <w:r>
        <w:rPr>
          <w:rFonts w:hint="eastAsia" w:ascii="宋体" w:hAnsi="宋体" w:cs="宋体"/>
          <w:sz w:val="24"/>
          <w:szCs w:val="24"/>
        </w:rPr>
        <w:t>，经双方授权代表签署并加盖单位印章并由乙方提供履约保证金后生效。</w:t>
      </w:r>
    </w:p>
    <w:p w14:paraId="412AE41B">
      <w:pPr>
        <w:snapToGrid w:val="0"/>
        <w:spacing w:line="360" w:lineRule="auto"/>
        <w:ind w:firstLine="480" w:firstLineChars="200"/>
        <w:rPr>
          <w:rFonts w:ascii="宋体" w:hAnsi="宋体" w:cs="宋体"/>
          <w:sz w:val="24"/>
          <w:szCs w:val="24"/>
        </w:rPr>
      </w:pPr>
    </w:p>
    <w:p w14:paraId="70BD3CAD">
      <w:pPr>
        <w:spacing w:line="360" w:lineRule="auto"/>
        <w:rPr>
          <w:rFonts w:ascii="宋体" w:hAnsi="宋体" w:cs="宋体"/>
          <w:sz w:val="24"/>
        </w:rPr>
      </w:pPr>
      <w:r>
        <w:rPr>
          <w:rFonts w:hint="eastAsia" w:ascii="宋体" w:hAnsi="宋体" w:cs="宋体"/>
          <w:sz w:val="24"/>
          <w:szCs w:val="24"/>
        </w:rPr>
        <w:br w:type="page"/>
      </w:r>
      <w:r>
        <w:rPr>
          <w:rFonts w:hint="eastAsia" w:ascii="宋体" w:hAnsi="宋体" w:cs="宋体"/>
          <w:sz w:val="24"/>
        </w:rPr>
        <w:t>（此页为签署页）</w:t>
      </w:r>
    </w:p>
    <w:p w14:paraId="6446A421">
      <w:pPr>
        <w:spacing w:line="360" w:lineRule="auto"/>
        <w:rPr>
          <w:rFonts w:ascii="宋体" w:hAnsi="宋体" w:cs="宋体"/>
          <w:sz w:val="28"/>
          <w:szCs w:val="28"/>
        </w:rPr>
      </w:pPr>
    </w:p>
    <w:p w14:paraId="0587936B">
      <w:pPr>
        <w:tabs>
          <w:tab w:val="left" w:pos="2987"/>
        </w:tabs>
        <w:spacing w:line="360" w:lineRule="auto"/>
        <w:rPr>
          <w:rFonts w:ascii="宋体" w:hAnsi="宋体" w:cs="宋体"/>
          <w:sz w:val="24"/>
          <w:szCs w:val="24"/>
        </w:rPr>
      </w:pPr>
      <w:r>
        <w:rPr>
          <w:rFonts w:hint="eastAsia" w:ascii="宋体" w:hAnsi="宋体" w:cs="宋体"/>
          <w:sz w:val="24"/>
          <w:szCs w:val="24"/>
        </w:rPr>
        <w:t>甲方：</w:t>
      </w:r>
      <w:r>
        <w:rPr>
          <w:rFonts w:ascii="宋体" w:hAnsi="宋体" w:cs="宋体"/>
          <w:sz w:val="24"/>
          <w:szCs w:val="24"/>
        </w:rPr>
        <w:t xml:space="preserve">                                 乙方：                   </w:t>
      </w:r>
    </w:p>
    <w:p w14:paraId="43530915">
      <w:pPr>
        <w:pStyle w:val="10"/>
        <w:tabs>
          <w:tab w:val="left" w:pos="4539"/>
        </w:tabs>
        <w:spacing w:beforeAutospacing="0" w:afterAutospacing="0" w:line="360" w:lineRule="auto"/>
        <w:jc w:val="both"/>
        <w:rPr>
          <w:rFonts w:hAnsi="宋体" w:cs="宋体"/>
          <w:b/>
          <w:spacing w:val="20"/>
          <w:szCs w:val="24"/>
        </w:rPr>
      </w:pPr>
      <w:r>
        <w:rPr>
          <w:rFonts w:hint="eastAsia" w:ascii="宋体" w:hAnsi="宋体" w:cs="宋体"/>
          <w:kern w:val="2"/>
          <w:szCs w:val="24"/>
        </w:rPr>
        <w:t>（盖章）</w:t>
      </w:r>
      <w:r>
        <w:rPr>
          <w:rFonts w:ascii="宋体" w:hAnsi="宋体" w:cs="宋体"/>
          <w:kern w:val="2"/>
          <w:szCs w:val="24"/>
        </w:rPr>
        <w:t xml:space="preserve">                              （盖章）                        </w:t>
      </w:r>
    </w:p>
    <w:p w14:paraId="2879906E">
      <w:pPr>
        <w:pStyle w:val="10"/>
        <w:tabs>
          <w:tab w:val="left" w:pos="4539"/>
        </w:tabs>
        <w:spacing w:beforeAutospacing="0" w:afterAutospacing="0" w:line="360" w:lineRule="auto"/>
        <w:jc w:val="both"/>
        <w:rPr>
          <w:rFonts w:hAnsi="宋体" w:cs="宋体"/>
          <w:szCs w:val="24"/>
        </w:rPr>
      </w:pPr>
    </w:p>
    <w:p w14:paraId="28CA934D">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法定代表人：</w:t>
      </w:r>
      <w:r>
        <w:rPr>
          <w:rFonts w:ascii="宋体" w:hAnsi="宋体" w:cs="宋体"/>
          <w:kern w:val="2"/>
          <w:szCs w:val="24"/>
        </w:rPr>
        <w:t xml:space="preserve">                          </w:t>
      </w:r>
      <w:r>
        <w:rPr>
          <w:rFonts w:hint="eastAsia" w:ascii="宋体" w:hAnsi="宋体" w:cs="宋体"/>
          <w:kern w:val="2"/>
          <w:szCs w:val="24"/>
        </w:rPr>
        <w:t>法定代表人：</w:t>
      </w:r>
    </w:p>
    <w:p w14:paraId="5B977F8F">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（或负责人）</w:t>
      </w:r>
      <w:r>
        <w:rPr>
          <w:rFonts w:ascii="宋体" w:hAnsi="宋体" w:cs="宋体"/>
          <w:kern w:val="2"/>
          <w:szCs w:val="24"/>
        </w:rPr>
        <w:t xml:space="preserve">                          </w:t>
      </w:r>
      <w:r>
        <w:rPr>
          <w:rFonts w:hint="eastAsia" w:ascii="宋体" w:hAnsi="宋体" w:cs="宋体"/>
          <w:kern w:val="2"/>
          <w:szCs w:val="24"/>
        </w:rPr>
        <w:t>（或负责人）</w:t>
      </w:r>
    </w:p>
    <w:p w14:paraId="6EAF1B62">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授权代表（签字）</w:t>
      </w:r>
      <w:r>
        <w:rPr>
          <w:rFonts w:ascii="宋体" w:hAnsi="宋体" w:cs="宋体"/>
          <w:kern w:val="2"/>
          <w:szCs w:val="24"/>
        </w:rPr>
        <w:t xml:space="preserve">                      </w:t>
      </w:r>
      <w:r>
        <w:rPr>
          <w:rFonts w:hint="eastAsia" w:ascii="宋体" w:hAnsi="宋体" w:cs="宋体"/>
          <w:kern w:val="2"/>
          <w:szCs w:val="24"/>
        </w:rPr>
        <w:t>授权代表（签字）</w:t>
      </w:r>
    </w:p>
    <w:p w14:paraId="1E56DFF8">
      <w:pPr>
        <w:pStyle w:val="10"/>
        <w:tabs>
          <w:tab w:val="left" w:pos="4539"/>
        </w:tabs>
        <w:spacing w:beforeAutospacing="0" w:afterAutospacing="0" w:line="360" w:lineRule="auto"/>
        <w:ind w:left="4800" w:hanging="4800" w:hangingChars="2000"/>
        <w:jc w:val="both"/>
        <w:rPr>
          <w:rFonts w:hAnsi="宋体" w:cs="宋体"/>
          <w:szCs w:val="24"/>
        </w:rPr>
      </w:pPr>
      <w:r>
        <w:rPr>
          <w:rFonts w:hint="eastAsia" w:ascii="宋体" w:hAnsi="宋体" w:cs="宋体"/>
          <w:kern w:val="2"/>
          <w:szCs w:val="24"/>
        </w:rPr>
        <w:t>单位地址：北京市朝阳区和平里街</w:t>
      </w:r>
      <w:r>
        <w:rPr>
          <w:rFonts w:ascii="宋体" w:hAnsi="宋体" w:cs="宋体"/>
          <w:kern w:val="2"/>
          <w:szCs w:val="24"/>
        </w:rPr>
        <w:t xml:space="preserve">        </w:t>
      </w:r>
      <w:r>
        <w:rPr>
          <w:rFonts w:hint="eastAsia" w:ascii="宋体" w:hAnsi="宋体" w:cs="宋体"/>
          <w:kern w:val="2"/>
          <w:szCs w:val="24"/>
        </w:rPr>
        <w:t>单位地址：</w:t>
      </w:r>
    </w:p>
    <w:p w14:paraId="769C13DD">
      <w:pPr>
        <w:pStyle w:val="10"/>
        <w:tabs>
          <w:tab w:val="left" w:pos="4539"/>
        </w:tabs>
        <w:spacing w:beforeAutospacing="0" w:afterAutospacing="0" w:line="360" w:lineRule="auto"/>
        <w:ind w:left="4800" w:hanging="4800" w:hangingChars="2000"/>
        <w:jc w:val="both"/>
        <w:rPr>
          <w:rFonts w:hAnsi="宋体" w:cs="宋体"/>
          <w:szCs w:val="24"/>
        </w:rPr>
      </w:pPr>
      <w:r>
        <w:rPr>
          <w:rFonts w:hint="eastAsia" w:ascii="宋体" w:hAnsi="宋体" w:cs="宋体"/>
          <w:kern w:val="2"/>
          <w:szCs w:val="24"/>
        </w:rPr>
        <w:t>砖角楼南里甲</w:t>
      </w:r>
      <w:r>
        <w:rPr>
          <w:rFonts w:ascii="宋体" w:hAnsi="宋体" w:cs="宋体"/>
          <w:kern w:val="2"/>
          <w:szCs w:val="24"/>
        </w:rPr>
        <w:t xml:space="preserve">21号                                                 </w:t>
      </w:r>
    </w:p>
    <w:p w14:paraId="3960B93F">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邮政编码：</w:t>
      </w:r>
      <w:r>
        <w:rPr>
          <w:rFonts w:hint="eastAsia"/>
          <w:szCs w:val="21"/>
        </w:rPr>
        <w:t>1</w:t>
      </w:r>
      <w:r>
        <w:rPr>
          <w:szCs w:val="21"/>
        </w:rPr>
        <w:t>000</w:t>
      </w:r>
      <w:bookmarkStart w:id="84" w:name="_GoBack"/>
      <w:bookmarkEnd w:id="84"/>
      <w:r>
        <w:rPr>
          <w:szCs w:val="21"/>
        </w:rPr>
        <w:t>13</w:t>
      </w:r>
      <w:r>
        <w:rPr>
          <w:rFonts w:ascii="宋体" w:hAnsi="宋体" w:cs="宋体"/>
          <w:kern w:val="2"/>
          <w:szCs w:val="24"/>
        </w:rPr>
        <w:t xml:space="preserve">                      邮政编码：   </w:t>
      </w:r>
    </w:p>
    <w:p w14:paraId="173D1F93">
      <w:pPr>
        <w:rPr>
          <w:rFonts w:ascii="宋体" w:hAnsi="宋体" w:cs="宋体"/>
          <w:sz w:val="24"/>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r>
        <w:rPr>
          <w:kern w:val="0"/>
          <w:sz w:val="24"/>
          <w:szCs w:val="21"/>
        </w:rPr>
        <w:t>010</w:t>
      </w:r>
      <w:r>
        <w:rPr>
          <w:rFonts w:hint="eastAsia"/>
          <w:kern w:val="0"/>
          <w:sz w:val="24"/>
          <w:szCs w:val="21"/>
        </w:rPr>
        <w:t>-</w:t>
      </w:r>
      <w:r>
        <w:rPr>
          <w:kern w:val="0"/>
          <w:sz w:val="24"/>
          <w:szCs w:val="21"/>
        </w:rPr>
        <w:t>64289447</w:t>
      </w:r>
      <w:r>
        <w:rPr>
          <w:rFonts w:ascii="宋体" w:hAnsi="宋体" w:cs="宋体"/>
          <w:sz w:val="24"/>
          <w:szCs w:val="24"/>
        </w:rPr>
        <w:t xml:space="preserve">                </w:t>
      </w: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p>
    <w:p w14:paraId="0A9A54A5">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传</w:t>
      </w:r>
      <w:r>
        <w:rPr>
          <w:rFonts w:ascii="宋体" w:hAnsi="宋体" w:cs="宋体"/>
          <w:kern w:val="2"/>
          <w:szCs w:val="24"/>
        </w:rPr>
        <w:t xml:space="preserve">    真：</w:t>
      </w:r>
      <w:r>
        <w:rPr>
          <w:szCs w:val="21"/>
        </w:rPr>
        <w:t>010</w:t>
      </w:r>
      <w:r>
        <w:rPr>
          <w:rFonts w:hint="eastAsia"/>
          <w:szCs w:val="21"/>
        </w:rPr>
        <w:t>-64284341</w:t>
      </w:r>
      <w:r>
        <w:rPr>
          <w:rFonts w:ascii="宋体" w:hAnsi="宋体" w:cs="宋体"/>
          <w:kern w:val="2"/>
          <w:szCs w:val="24"/>
        </w:rPr>
        <w:t xml:space="preserve">                传    真： </w:t>
      </w:r>
    </w:p>
    <w:p w14:paraId="686817E6">
      <w:pPr>
        <w:pStyle w:val="10"/>
        <w:spacing w:beforeAutospacing="0" w:afterAutospacing="0" w:line="360" w:lineRule="auto"/>
        <w:jc w:val="both"/>
        <w:rPr>
          <w:rFonts w:hAnsi="宋体" w:cs="宋体"/>
          <w:szCs w:val="24"/>
        </w:rPr>
      </w:pPr>
      <w:r>
        <w:rPr>
          <w:rFonts w:hint="eastAsia" w:ascii="宋体" w:hAnsi="宋体" w:cs="宋体"/>
          <w:kern w:val="2"/>
          <w:szCs w:val="24"/>
        </w:rPr>
        <w:t>开户银行：</w:t>
      </w:r>
      <w:r>
        <w:rPr>
          <w:szCs w:val="21"/>
        </w:rPr>
        <w:t>中国光大银行股份有限公司</w:t>
      </w:r>
      <w:r>
        <w:rPr>
          <w:rFonts w:hint="eastAsia"/>
          <w:szCs w:val="21"/>
        </w:rPr>
        <w:t xml:space="preserve">   </w:t>
      </w:r>
      <w:r>
        <w:rPr>
          <w:rFonts w:hint="eastAsia" w:ascii="宋体" w:hAnsi="宋体" w:cs="宋体"/>
          <w:kern w:val="2"/>
          <w:szCs w:val="24"/>
        </w:rPr>
        <w:t>开户银行：</w:t>
      </w:r>
    </w:p>
    <w:p w14:paraId="2B0F4212">
      <w:pPr>
        <w:pStyle w:val="10"/>
        <w:spacing w:beforeAutospacing="0" w:afterAutospacing="0" w:line="360" w:lineRule="auto"/>
        <w:jc w:val="both"/>
        <w:rPr>
          <w:szCs w:val="21"/>
        </w:rPr>
      </w:pPr>
      <w:r>
        <w:rPr>
          <w:szCs w:val="21"/>
        </w:rPr>
        <w:t>北京</w:t>
      </w:r>
      <w:r>
        <w:rPr>
          <w:rFonts w:hint="eastAsia"/>
          <w:szCs w:val="21"/>
        </w:rPr>
        <w:t>惠新西街</w:t>
      </w:r>
      <w:r>
        <w:rPr>
          <w:szCs w:val="21"/>
        </w:rPr>
        <w:t>支行</w:t>
      </w:r>
    </w:p>
    <w:p w14:paraId="408AF781">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银行帐号：</w:t>
      </w:r>
      <w:r>
        <w:rPr>
          <w:rFonts w:hint="eastAsia"/>
          <w:szCs w:val="21"/>
        </w:rPr>
        <w:t>35240188000098721</w:t>
      </w:r>
      <w:r>
        <w:rPr>
          <w:rFonts w:ascii="宋体" w:hAnsi="宋体" w:cs="宋体"/>
          <w:kern w:val="2"/>
          <w:szCs w:val="24"/>
        </w:rPr>
        <w:t xml:space="preserve">           </w:t>
      </w:r>
      <w:r>
        <w:rPr>
          <w:rFonts w:hint="eastAsia" w:ascii="宋体" w:hAnsi="宋体" w:cs="宋体"/>
          <w:kern w:val="2"/>
          <w:szCs w:val="24"/>
        </w:rPr>
        <w:t>银行帐号：</w:t>
      </w:r>
    </w:p>
    <w:p w14:paraId="489D8303">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项目负责人：</w:t>
      </w:r>
      <w:r>
        <w:rPr>
          <w:rFonts w:ascii="宋体" w:hAnsi="宋体" w:cs="宋体"/>
          <w:kern w:val="2"/>
          <w:szCs w:val="24"/>
        </w:rPr>
        <w:t xml:space="preserve">                          项目负责人：        </w:t>
      </w:r>
    </w:p>
    <w:p w14:paraId="6EC79FA2">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联系方式：</w:t>
      </w:r>
      <w:r>
        <w:rPr>
          <w:rFonts w:ascii="宋体" w:hAnsi="宋体" w:cs="宋体"/>
          <w:kern w:val="2"/>
          <w:szCs w:val="24"/>
        </w:rPr>
        <w:t xml:space="preserve">                            联系方式：           </w:t>
      </w:r>
    </w:p>
    <w:p w14:paraId="7965A409">
      <w:pPr>
        <w:spacing w:line="360" w:lineRule="auto"/>
        <w:rPr>
          <w:rFonts w:ascii="宋体" w:hAnsi="宋体" w:cs="宋体"/>
          <w:sz w:val="24"/>
          <w:szCs w:val="24"/>
        </w:rPr>
      </w:pP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14:paraId="7F5C979D">
      <w:pPr>
        <w:snapToGrid w:val="0"/>
        <w:spacing w:line="360" w:lineRule="auto"/>
        <w:ind w:firstLine="480" w:firstLineChars="200"/>
        <w:rPr>
          <w:rFonts w:ascii="宋体" w:hAnsi="宋体" w:cs="宋体"/>
          <w:sz w:val="24"/>
          <w:szCs w:val="24"/>
        </w:rPr>
      </w:pPr>
    </w:p>
    <w:p w14:paraId="2066E3C4">
      <w:pPr>
        <w:pStyle w:val="2"/>
        <w:widowControl/>
        <w:spacing w:before="0" w:line="360" w:lineRule="auto"/>
        <w:ind w:firstLine="482" w:firstLineChars="200"/>
        <w:rPr>
          <w:rFonts w:ascii="宋体" w:hAnsi="宋体" w:eastAsia="宋体" w:cs="宋体"/>
          <w:sz w:val="32"/>
          <w:szCs w:val="32"/>
        </w:rPr>
      </w:pPr>
      <w:r>
        <w:rPr>
          <w:rFonts w:ascii="宋体" w:hAnsi="宋体" w:eastAsia="宋体" w:cs="宋体"/>
          <w:sz w:val="24"/>
          <w:szCs w:val="24"/>
        </w:rPr>
        <w:br w:type="page"/>
      </w:r>
      <w:bookmarkStart w:id="0" w:name="_Toc513573535"/>
      <w:bookmarkStart w:id="1" w:name="_Toc12613700"/>
      <w:bookmarkStart w:id="2" w:name="_Toc474755267"/>
      <w:r>
        <w:rPr>
          <w:rFonts w:hint="eastAsia" w:ascii="宋体" w:hAnsi="宋体" w:eastAsia="宋体" w:cs="宋体"/>
          <w:sz w:val="32"/>
          <w:szCs w:val="32"/>
        </w:rPr>
        <w:t>合同条款</w:t>
      </w:r>
      <w:bookmarkEnd w:id="0"/>
      <w:bookmarkEnd w:id="1"/>
      <w:bookmarkEnd w:id="2"/>
    </w:p>
    <w:p w14:paraId="7733617B">
      <w:pPr>
        <w:pStyle w:val="2"/>
        <w:widowControl/>
        <w:spacing w:before="0" w:line="360" w:lineRule="auto"/>
        <w:ind w:firstLine="482" w:firstLineChars="200"/>
        <w:rPr>
          <w:rFonts w:ascii="宋体" w:hAnsi="宋体" w:eastAsia="宋体" w:cs="宋体"/>
          <w:sz w:val="24"/>
          <w:szCs w:val="24"/>
        </w:rPr>
      </w:pPr>
    </w:p>
    <w:p w14:paraId="5A190A13">
      <w:pPr>
        <w:pStyle w:val="3"/>
        <w:widowControl/>
        <w:numPr>
          <w:ilvl w:val="0"/>
          <w:numId w:val="2"/>
        </w:numPr>
        <w:tabs>
          <w:tab w:val="left" w:pos="901"/>
        </w:tabs>
        <w:snapToGrid w:val="0"/>
        <w:spacing w:before="0" w:after="0" w:line="360" w:lineRule="auto"/>
        <w:ind w:firstLine="482" w:firstLineChars="200"/>
        <w:rPr>
          <w:rFonts w:hint="default" w:hAnsi="宋体" w:cs="宋体"/>
          <w:szCs w:val="24"/>
        </w:rPr>
      </w:pPr>
      <w:bookmarkStart w:id="3" w:name="_Toc366495192"/>
      <w:r>
        <w:rPr>
          <w:rFonts w:hAnsi="宋体" w:cs="宋体"/>
          <w:szCs w:val="24"/>
          <w:u w:val="none"/>
        </w:rPr>
        <w:t>定义</w:t>
      </w:r>
      <w:bookmarkEnd w:id="3"/>
    </w:p>
    <w:p w14:paraId="0A3D06C2">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本合同中的下列术语应解释为：</w:t>
      </w:r>
    </w:p>
    <w:p w14:paraId="118C5D47">
      <w:pPr>
        <w:pStyle w:val="16"/>
        <w:widowControl w:val="0"/>
        <w:snapToGrid w:val="0"/>
        <w:spacing w:line="360" w:lineRule="auto"/>
        <w:ind w:firstLine="480" w:firstLineChars="200"/>
        <w:rPr>
          <w:rFonts w:ascii="宋体" w:hAnsi="宋体" w:eastAsia="宋体" w:cs="宋体"/>
          <w:color w:val="auto"/>
          <w:szCs w:val="24"/>
        </w:rPr>
      </w:pPr>
      <w:r>
        <w:rPr>
          <w:rFonts w:hint="eastAsia" w:ascii="宋体" w:hAnsi="宋体" w:eastAsia="宋体" w:cs="宋体"/>
          <w:color w:val="auto"/>
          <w:szCs w:val="24"/>
        </w:rPr>
        <w:t>1.1 “合同”系指买卖双方签署的、合同格式</w:t>
      </w:r>
      <w:bookmarkStart w:id="4" w:name="_Toc330473009"/>
      <w:bookmarkStart w:id="5" w:name="_Toc289327686"/>
      <w:r>
        <w:rPr>
          <w:rFonts w:hint="eastAsia" w:ascii="宋体" w:hAnsi="宋体" w:eastAsia="宋体" w:cs="宋体"/>
          <w:color w:val="auto"/>
          <w:szCs w:val="24"/>
        </w:rPr>
        <w:t>中载明的买卖双方所</w:t>
      </w:r>
      <w:bookmarkEnd w:id="4"/>
      <w:bookmarkEnd w:id="5"/>
      <w:r>
        <w:rPr>
          <w:rFonts w:hint="eastAsia" w:ascii="宋体" w:hAnsi="宋体" w:eastAsia="宋体" w:cs="宋体"/>
          <w:color w:val="auto"/>
          <w:szCs w:val="24"/>
        </w:rPr>
        <w:t>达成的合同，包括所有的附件、附录和构成合同的其它文件。</w:t>
      </w:r>
    </w:p>
    <w:p w14:paraId="33200D00">
      <w:pPr>
        <w:snapToGrid w:val="0"/>
        <w:spacing w:line="360" w:lineRule="auto"/>
        <w:ind w:firstLine="480" w:firstLineChars="200"/>
        <w:rPr>
          <w:rFonts w:ascii="宋体" w:hAnsi="宋体" w:cs="宋体"/>
          <w:sz w:val="24"/>
          <w:szCs w:val="24"/>
        </w:rPr>
      </w:pPr>
      <w:r>
        <w:rPr>
          <w:rFonts w:hint="eastAsia" w:ascii="宋体" w:hAnsi="宋体" w:cs="宋体"/>
          <w:sz w:val="24"/>
          <w:szCs w:val="24"/>
        </w:rPr>
        <w:t>1.2 “合同价”系指根据合同约定，卖方在完全履行合同义务后买方应付给卖方的价格。</w:t>
      </w:r>
    </w:p>
    <w:p w14:paraId="0040E445">
      <w:pPr>
        <w:snapToGrid w:val="0"/>
        <w:spacing w:line="360" w:lineRule="auto"/>
        <w:ind w:firstLine="480" w:firstLineChars="200"/>
        <w:rPr>
          <w:rFonts w:ascii="宋体" w:hAnsi="宋体" w:cs="宋体"/>
          <w:sz w:val="24"/>
          <w:szCs w:val="24"/>
        </w:rPr>
      </w:pPr>
      <w:r>
        <w:rPr>
          <w:rFonts w:hint="eastAsia" w:ascii="宋体" w:hAnsi="宋体" w:cs="宋体"/>
          <w:sz w:val="24"/>
          <w:szCs w:val="24"/>
        </w:rPr>
        <w:t>1.3 “货物”系指卖方根据合同约定须向买方提供的一切设备、机械、仪表、备件，包括工具、手册等其它相关资料。“服务”系指根据合同约定卖方承担与供货有关的辅助服务，如运输、保险及安装、调试、提供技术援助、培训和其他类似的服务。</w:t>
      </w:r>
    </w:p>
    <w:p w14:paraId="58ACEF76">
      <w:pPr>
        <w:snapToGrid w:val="0"/>
        <w:spacing w:line="360" w:lineRule="auto"/>
        <w:ind w:firstLine="480" w:firstLineChars="200"/>
        <w:rPr>
          <w:rFonts w:ascii="宋体" w:hAnsi="宋体" w:cs="宋体"/>
          <w:sz w:val="24"/>
          <w:szCs w:val="24"/>
        </w:rPr>
      </w:pPr>
      <w:r>
        <w:rPr>
          <w:rFonts w:hint="eastAsia" w:ascii="宋体" w:hAnsi="宋体" w:cs="宋体"/>
          <w:sz w:val="24"/>
          <w:szCs w:val="24"/>
        </w:rPr>
        <w:t>1.4 “买方”系指与中标人/成交人签署供货合同的单位（含最终用户）。</w:t>
      </w:r>
    </w:p>
    <w:p w14:paraId="78861181">
      <w:pPr>
        <w:snapToGrid w:val="0"/>
        <w:spacing w:line="360" w:lineRule="auto"/>
        <w:ind w:firstLine="480" w:firstLineChars="200"/>
        <w:rPr>
          <w:rFonts w:ascii="宋体" w:hAnsi="宋体" w:cs="宋体"/>
          <w:sz w:val="24"/>
          <w:szCs w:val="24"/>
        </w:rPr>
      </w:pPr>
      <w:r>
        <w:rPr>
          <w:rFonts w:hint="eastAsia" w:ascii="宋体" w:hAnsi="宋体" w:cs="宋体"/>
          <w:sz w:val="24"/>
          <w:szCs w:val="24"/>
        </w:rPr>
        <w:t>1.5 “卖方”系指根据合同约定提供货物及相关服务的中标人/成交人。</w:t>
      </w:r>
    </w:p>
    <w:p w14:paraId="63A7A7A9">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1.6 “现场”系指合同约定货物将要运至和安装的地点。</w:t>
      </w:r>
    </w:p>
    <w:p w14:paraId="629B9538">
      <w:pPr>
        <w:snapToGrid w:val="0"/>
        <w:spacing w:line="360" w:lineRule="auto"/>
        <w:ind w:firstLine="480" w:firstLineChars="200"/>
        <w:rPr>
          <w:rFonts w:ascii="宋体" w:hAnsi="宋体" w:cs="宋体"/>
          <w:sz w:val="24"/>
          <w:szCs w:val="24"/>
        </w:rPr>
      </w:pPr>
      <w:r>
        <w:rPr>
          <w:rFonts w:hint="eastAsia" w:ascii="宋体" w:hAnsi="宋体" w:cs="宋体"/>
          <w:sz w:val="24"/>
          <w:szCs w:val="24"/>
        </w:rPr>
        <w:t>1.7 “验收”系指合同双方依据强制性的国家技术质量规范和合同约定，确认合同项下的货物符合合同规定的活动。</w:t>
      </w:r>
    </w:p>
    <w:p w14:paraId="2CA75F4C">
      <w:pPr>
        <w:pStyle w:val="3"/>
        <w:widowControl/>
        <w:snapToGrid w:val="0"/>
        <w:spacing w:before="0" w:after="0" w:line="360" w:lineRule="auto"/>
        <w:ind w:firstLine="482" w:firstLineChars="200"/>
        <w:jc w:val="both"/>
        <w:rPr>
          <w:rFonts w:hint="default" w:hAnsi="宋体" w:cs="宋体"/>
          <w:szCs w:val="24"/>
        </w:rPr>
      </w:pPr>
      <w:bookmarkStart w:id="6" w:name="_Toc366495193"/>
      <w:r>
        <w:rPr>
          <w:rFonts w:hAnsi="宋体" w:cs="宋体"/>
          <w:szCs w:val="24"/>
          <w:u w:val="none"/>
        </w:rPr>
        <w:t>2. 技术规范</w:t>
      </w:r>
      <w:bookmarkEnd w:id="6"/>
    </w:p>
    <w:p w14:paraId="7338EEF5">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2.1 提交货物的技术规范应与招标文件/谈判文件、报价文件规定的技术规范和技术规范附件（</w:t>
      </w:r>
      <w:bookmarkStart w:id="7" w:name="_Toc289327687"/>
      <w:bookmarkStart w:id="8" w:name="_Toc330473010"/>
      <w:r>
        <w:rPr>
          <w:rFonts w:hint="eastAsia" w:ascii="宋体" w:hAnsi="宋体" w:cs="宋体"/>
          <w:sz w:val="24"/>
          <w:szCs w:val="24"/>
        </w:rPr>
        <w:t>如果有的话）及其投标文件</w:t>
      </w:r>
      <w:bookmarkEnd w:id="7"/>
      <w:bookmarkEnd w:id="8"/>
      <w:r>
        <w:rPr>
          <w:rFonts w:hint="eastAsia" w:ascii="宋体" w:hAnsi="宋体" w:cs="宋体"/>
          <w:sz w:val="24"/>
          <w:szCs w:val="24"/>
        </w:rPr>
        <w:t>的技术规范偏差表（如果有且被买方接受的话）相一致。若技术规范中无相应说明，则以国家有关部门最新颁布的相应标准及规范为准。</w:t>
      </w:r>
    </w:p>
    <w:p w14:paraId="09D409C0">
      <w:pPr>
        <w:pStyle w:val="3"/>
        <w:widowControl/>
        <w:snapToGrid w:val="0"/>
        <w:spacing w:before="0" w:after="0" w:line="360" w:lineRule="auto"/>
        <w:ind w:firstLine="482" w:firstLineChars="200"/>
        <w:jc w:val="both"/>
        <w:rPr>
          <w:rFonts w:hint="default" w:hAnsi="宋体" w:cs="宋体"/>
          <w:szCs w:val="24"/>
        </w:rPr>
      </w:pPr>
      <w:bookmarkStart w:id="9" w:name="_Toc366495194"/>
      <w:r>
        <w:rPr>
          <w:rFonts w:hAnsi="宋体" w:cs="宋体"/>
          <w:szCs w:val="24"/>
          <w:u w:val="none"/>
        </w:rPr>
        <w:t>3. 知识产权</w:t>
      </w:r>
      <w:bookmarkEnd w:id="9"/>
    </w:p>
    <w:p w14:paraId="306C9EA3">
      <w:pPr>
        <w:snapToGrid w:val="0"/>
        <w:spacing w:line="360" w:lineRule="auto"/>
        <w:ind w:firstLine="480" w:firstLineChars="200"/>
        <w:rPr>
          <w:rFonts w:ascii="宋体" w:hAnsi="宋体" w:cs="宋体"/>
          <w:sz w:val="24"/>
          <w:szCs w:val="24"/>
        </w:rPr>
      </w:pPr>
      <w:r>
        <w:rPr>
          <w:rFonts w:hint="eastAsia" w:ascii="宋体" w:hAnsi="宋体" w:cs="宋体"/>
          <w:sz w:val="24"/>
          <w:szCs w:val="24"/>
        </w:rPr>
        <w:t>3.1 卖方应保证买方在使用该货物或其任何一部分时不受第三方提出的侵</w:t>
      </w:r>
      <w:bookmarkStart w:id="10" w:name="_Toc330473011"/>
      <w:bookmarkStart w:id="11" w:name="_Toc289327688"/>
      <w:r>
        <w:rPr>
          <w:rFonts w:hint="eastAsia" w:ascii="宋体" w:hAnsi="宋体" w:cs="宋体"/>
          <w:sz w:val="24"/>
          <w:szCs w:val="24"/>
        </w:rPr>
        <w:t>犯专利权、著作权、商标</w:t>
      </w:r>
      <w:bookmarkEnd w:id="10"/>
      <w:bookmarkEnd w:id="11"/>
      <w:r>
        <w:rPr>
          <w:rFonts w:hint="eastAsia" w:ascii="宋体" w:hAnsi="宋体" w:cs="宋体"/>
          <w:sz w:val="24"/>
          <w:szCs w:val="24"/>
        </w:rPr>
        <w:t>权和工业设计权等的起诉。如果任何第三方提出侵权指控，卖方须与第三方交涉并承担由此发生的一切责任、费用和经济赔偿。</w:t>
      </w:r>
    </w:p>
    <w:p w14:paraId="779DA066">
      <w:pPr>
        <w:pStyle w:val="3"/>
        <w:widowControl/>
        <w:snapToGrid w:val="0"/>
        <w:spacing w:before="0" w:after="0" w:line="360" w:lineRule="auto"/>
        <w:ind w:firstLine="482" w:firstLineChars="200"/>
        <w:jc w:val="both"/>
        <w:rPr>
          <w:rFonts w:hint="default" w:hAnsi="宋体" w:cs="宋体"/>
          <w:szCs w:val="24"/>
        </w:rPr>
      </w:pPr>
      <w:bookmarkStart w:id="12" w:name="_Toc366495195"/>
      <w:r>
        <w:rPr>
          <w:rFonts w:hAnsi="宋体" w:cs="宋体"/>
          <w:szCs w:val="24"/>
          <w:u w:val="none"/>
        </w:rPr>
        <w:t>4. 包装要求</w:t>
      </w:r>
      <w:bookmarkEnd w:id="12"/>
    </w:p>
    <w:p w14:paraId="7DBC351E">
      <w:pPr>
        <w:snapToGrid w:val="0"/>
        <w:spacing w:line="360" w:lineRule="auto"/>
        <w:ind w:firstLine="480" w:firstLineChars="200"/>
        <w:rPr>
          <w:rFonts w:ascii="宋体" w:hAnsi="宋体" w:cs="宋体"/>
          <w:sz w:val="24"/>
          <w:szCs w:val="24"/>
        </w:rPr>
      </w:pPr>
      <w:r>
        <w:rPr>
          <w:rFonts w:hint="eastAsia" w:ascii="宋体" w:hAnsi="宋体" w:cs="宋体"/>
          <w:sz w:val="24"/>
          <w:szCs w:val="24"/>
        </w:rPr>
        <w:t>4.1 除合同另有约定外，卖方提供的全部货物，均应采用本行业通用的方</w:t>
      </w:r>
      <w:bookmarkStart w:id="13" w:name="_Toc330473012"/>
      <w:bookmarkStart w:id="14" w:name="_Toc289327689"/>
      <w:r>
        <w:rPr>
          <w:rFonts w:hint="eastAsia" w:ascii="宋体" w:hAnsi="宋体" w:cs="宋体"/>
          <w:sz w:val="24"/>
          <w:szCs w:val="24"/>
        </w:rPr>
        <w:t>式进行包装，且该包装应符</w:t>
      </w:r>
      <w:bookmarkEnd w:id="13"/>
      <w:bookmarkEnd w:id="14"/>
      <w:r>
        <w:rPr>
          <w:rFonts w:hint="eastAsia" w:ascii="宋体" w:hAnsi="宋体" w:cs="宋体"/>
          <w:sz w:val="24"/>
          <w:szCs w:val="24"/>
        </w:rPr>
        <w:t>合国家有关包装的法律、法规的规定。包装应适应于远距离运输、防潮、防震、防锈和防粗暴装卸，确保货物安全无损，运抵现场。由于包装不善所引起的货物锈蚀、损坏和损失均由卖方承担。</w:t>
      </w:r>
    </w:p>
    <w:p w14:paraId="5F54DE20">
      <w:pPr>
        <w:snapToGrid w:val="0"/>
        <w:spacing w:line="360" w:lineRule="auto"/>
        <w:ind w:firstLine="480" w:firstLineChars="200"/>
        <w:rPr>
          <w:rFonts w:ascii="宋体" w:hAnsi="宋体" w:cs="宋体"/>
          <w:sz w:val="24"/>
          <w:szCs w:val="24"/>
        </w:rPr>
      </w:pPr>
      <w:r>
        <w:rPr>
          <w:rFonts w:hint="eastAsia" w:ascii="宋体" w:hAnsi="宋体" w:cs="宋体"/>
          <w:sz w:val="24"/>
          <w:szCs w:val="24"/>
        </w:rPr>
        <w:t>4.2 每件包装箱内应附一份详细装箱单和质量合格证。</w:t>
      </w:r>
    </w:p>
    <w:p w14:paraId="5693A4D0">
      <w:pPr>
        <w:pStyle w:val="3"/>
        <w:widowControl/>
        <w:snapToGrid w:val="0"/>
        <w:spacing w:before="0" w:after="0" w:line="360" w:lineRule="auto"/>
        <w:ind w:firstLine="482" w:firstLineChars="200"/>
        <w:jc w:val="both"/>
        <w:rPr>
          <w:rFonts w:hint="default" w:hAnsi="宋体" w:cs="宋体"/>
          <w:szCs w:val="24"/>
        </w:rPr>
      </w:pPr>
      <w:bookmarkStart w:id="15" w:name="_Toc366495196"/>
      <w:r>
        <w:rPr>
          <w:rFonts w:hAnsi="宋体" w:cs="宋体"/>
          <w:szCs w:val="24"/>
          <w:u w:val="none"/>
        </w:rPr>
        <w:t>5. 装运标志</w:t>
      </w:r>
      <w:bookmarkEnd w:id="15"/>
    </w:p>
    <w:p w14:paraId="4B5E7BA2">
      <w:pPr>
        <w:snapToGrid w:val="0"/>
        <w:spacing w:line="360" w:lineRule="auto"/>
        <w:ind w:firstLine="480" w:firstLineChars="200"/>
        <w:rPr>
          <w:rFonts w:ascii="宋体" w:hAnsi="宋体" w:cs="宋体"/>
          <w:sz w:val="24"/>
          <w:szCs w:val="24"/>
        </w:rPr>
      </w:pPr>
      <w:r>
        <w:rPr>
          <w:rFonts w:hint="eastAsia" w:ascii="宋体" w:hAnsi="宋体" w:cs="宋体"/>
          <w:sz w:val="24"/>
          <w:szCs w:val="24"/>
        </w:rPr>
        <w:t>5.1 卖方应在每一包装箱的两侧用不褪色的油漆以醒目的中文字样做出下</w:t>
      </w:r>
      <w:bookmarkStart w:id="16" w:name="_Toc330473013"/>
      <w:bookmarkStart w:id="17" w:name="_Toc289327690"/>
      <w:r>
        <w:rPr>
          <w:rFonts w:hint="eastAsia" w:ascii="宋体" w:hAnsi="宋体" w:cs="宋体"/>
          <w:sz w:val="24"/>
          <w:szCs w:val="24"/>
        </w:rPr>
        <w:t>列标记：</w:t>
      </w:r>
    </w:p>
    <w:p w14:paraId="74A28B75">
      <w:pPr>
        <w:snapToGrid w:val="0"/>
        <w:spacing w:line="360" w:lineRule="auto"/>
        <w:ind w:firstLine="480" w:firstLineChars="200"/>
        <w:rPr>
          <w:rFonts w:ascii="宋体" w:hAnsi="宋体" w:cs="宋体"/>
          <w:sz w:val="24"/>
          <w:szCs w:val="24"/>
        </w:rPr>
      </w:pPr>
      <w:r>
        <w:rPr>
          <w:rFonts w:hint="eastAsia" w:ascii="宋体" w:hAnsi="宋体" w:cs="宋体"/>
          <w:sz w:val="24"/>
          <w:szCs w:val="24"/>
        </w:rPr>
        <w:t>收货人</w:t>
      </w:r>
      <w:bookmarkEnd w:id="16"/>
      <w:bookmarkEnd w:id="17"/>
      <w:r>
        <w:rPr>
          <w:rFonts w:hint="eastAsia" w:ascii="宋体" w:hAnsi="宋体" w:cs="宋体"/>
          <w:sz w:val="24"/>
          <w:szCs w:val="24"/>
        </w:rPr>
        <w:t>：</w:t>
      </w:r>
    </w:p>
    <w:p w14:paraId="0CBD51F9">
      <w:pPr>
        <w:snapToGrid w:val="0"/>
        <w:spacing w:line="360" w:lineRule="auto"/>
        <w:ind w:firstLine="480" w:firstLineChars="200"/>
        <w:rPr>
          <w:rFonts w:ascii="宋体" w:hAnsi="宋体" w:cs="宋体"/>
          <w:sz w:val="24"/>
          <w:szCs w:val="24"/>
        </w:rPr>
      </w:pPr>
      <w:r>
        <w:rPr>
          <w:rFonts w:hint="eastAsia" w:ascii="宋体" w:hAnsi="宋体" w:cs="宋体"/>
          <w:sz w:val="24"/>
          <w:szCs w:val="24"/>
        </w:rPr>
        <w:t>合同号：</w:t>
      </w:r>
    </w:p>
    <w:p w14:paraId="0A34079D">
      <w:pPr>
        <w:snapToGrid w:val="0"/>
        <w:spacing w:line="360" w:lineRule="auto"/>
        <w:ind w:firstLine="480" w:firstLineChars="200"/>
        <w:rPr>
          <w:rFonts w:ascii="宋体" w:hAnsi="宋体" w:cs="宋体"/>
          <w:sz w:val="24"/>
          <w:szCs w:val="24"/>
        </w:rPr>
      </w:pPr>
      <w:r>
        <w:rPr>
          <w:rFonts w:hint="eastAsia" w:ascii="宋体" w:hAnsi="宋体" w:cs="宋体"/>
          <w:sz w:val="24"/>
          <w:szCs w:val="24"/>
        </w:rPr>
        <w:t>装运标志：</w:t>
      </w:r>
    </w:p>
    <w:p w14:paraId="1C04CC95">
      <w:pPr>
        <w:snapToGrid w:val="0"/>
        <w:spacing w:line="360" w:lineRule="auto"/>
        <w:ind w:firstLine="480" w:firstLineChars="200"/>
        <w:rPr>
          <w:rFonts w:ascii="宋体" w:hAnsi="宋体" w:cs="宋体"/>
          <w:sz w:val="24"/>
          <w:szCs w:val="24"/>
        </w:rPr>
      </w:pPr>
      <w:r>
        <w:rPr>
          <w:rFonts w:hint="eastAsia" w:ascii="宋体" w:hAnsi="宋体" w:cs="宋体"/>
          <w:sz w:val="24"/>
          <w:szCs w:val="24"/>
        </w:rPr>
        <w:t>收货人代号：</w:t>
      </w:r>
    </w:p>
    <w:p w14:paraId="3A1CE3F1">
      <w:pPr>
        <w:snapToGrid w:val="0"/>
        <w:spacing w:line="360" w:lineRule="auto"/>
        <w:ind w:firstLine="480" w:firstLineChars="200"/>
        <w:rPr>
          <w:rFonts w:ascii="宋体" w:hAnsi="宋体" w:cs="宋体"/>
          <w:sz w:val="24"/>
          <w:szCs w:val="24"/>
        </w:rPr>
      </w:pPr>
      <w:r>
        <w:rPr>
          <w:rFonts w:hint="eastAsia" w:ascii="宋体" w:hAnsi="宋体" w:cs="宋体"/>
          <w:sz w:val="24"/>
          <w:szCs w:val="24"/>
        </w:rPr>
        <w:t>目的地：</w:t>
      </w:r>
    </w:p>
    <w:p w14:paraId="5FF340AE">
      <w:pPr>
        <w:snapToGrid w:val="0"/>
        <w:spacing w:line="360" w:lineRule="auto"/>
        <w:ind w:firstLine="480" w:firstLineChars="200"/>
        <w:rPr>
          <w:rFonts w:ascii="宋体" w:hAnsi="宋体" w:cs="宋体"/>
          <w:sz w:val="24"/>
          <w:szCs w:val="24"/>
        </w:rPr>
      </w:pPr>
      <w:r>
        <w:rPr>
          <w:rFonts w:hint="eastAsia" w:ascii="宋体" w:hAnsi="宋体" w:cs="宋体"/>
          <w:sz w:val="24"/>
          <w:szCs w:val="24"/>
        </w:rPr>
        <w:t>货物名称、品目号和箱号：</w:t>
      </w:r>
    </w:p>
    <w:p w14:paraId="54BA05C0">
      <w:pPr>
        <w:snapToGrid w:val="0"/>
        <w:spacing w:line="360" w:lineRule="auto"/>
        <w:ind w:firstLine="480" w:firstLineChars="200"/>
        <w:rPr>
          <w:rFonts w:ascii="宋体" w:hAnsi="宋体" w:cs="宋体"/>
          <w:sz w:val="24"/>
          <w:szCs w:val="24"/>
        </w:rPr>
      </w:pPr>
      <w:r>
        <w:rPr>
          <w:rFonts w:hint="eastAsia" w:ascii="宋体" w:hAnsi="宋体" w:cs="宋体"/>
          <w:sz w:val="24"/>
          <w:szCs w:val="24"/>
        </w:rPr>
        <w:t>毛重／净重：</w:t>
      </w:r>
    </w:p>
    <w:p w14:paraId="6FF308CA">
      <w:pPr>
        <w:snapToGrid w:val="0"/>
        <w:spacing w:line="360" w:lineRule="auto"/>
        <w:ind w:firstLine="480" w:firstLineChars="200"/>
        <w:rPr>
          <w:rFonts w:ascii="宋体" w:hAnsi="宋体" w:cs="宋体"/>
          <w:sz w:val="24"/>
          <w:szCs w:val="24"/>
        </w:rPr>
      </w:pPr>
      <w:r>
        <w:rPr>
          <w:rFonts w:hint="eastAsia" w:ascii="宋体" w:hAnsi="宋体" w:cs="宋体"/>
          <w:sz w:val="24"/>
          <w:szCs w:val="24"/>
        </w:rPr>
        <w:t>尺寸（长×宽×高以厘米计）：      </w:t>
      </w:r>
    </w:p>
    <w:p w14:paraId="18B12F49">
      <w:pPr>
        <w:snapToGrid w:val="0"/>
        <w:spacing w:line="360" w:lineRule="auto"/>
        <w:ind w:firstLine="480" w:firstLineChars="200"/>
        <w:rPr>
          <w:rFonts w:ascii="宋体" w:hAnsi="宋体" w:cs="宋体"/>
          <w:sz w:val="24"/>
          <w:szCs w:val="24"/>
        </w:rPr>
      </w:pPr>
      <w:r>
        <w:rPr>
          <w:rFonts w:hint="eastAsia" w:ascii="宋体" w:hAnsi="宋体" w:cs="宋体"/>
          <w:sz w:val="24"/>
          <w:szCs w:val="24"/>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78199060">
      <w:pPr>
        <w:pStyle w:val="3"/>
        <w:widowControl/>
        <w:snapToGrid w:val="0"/>
        <w:spacing w:before="0" w:after="0" w:line="360" w:lineRule="auto"/>
        <w:ind w:firstLine="482" w:firstLineChars="200"/>
        <w:jc w:val="both"/>
        <w:rPr>
          <w:rFonts w:hint="default" w:hAnsi="宋体" w:cs="宋体"/>
          <w:szCs w:val="24"/>
        </w:rPr>
      </w:pPr>
      <w:bookmarkStart w:id="18" w:name="_Toc366495197"/>
      <w:r>
        <w:rPr>
          <w:rFonts w:hAnsi="宋体" w:cs="宋体"/>
          <w:szCs w:val="24"/>
          <w:u w:val="none"/>
        </w:rPr>
        <w:t>6. 交货方式</w:t>
      </w:r>
      <w:bookmarkEnd w:id="18"/>
    </w:p>
    <w:p w14:paraId="78F1373E">
      <w:pPr>
        <w:snapToGrid w:val="0"/>
        <w:spacing w:line="360" w:lineRule="auto"/>
        <w:ind w:firstLine="480" w:firstLineChars="200"/>
        <w:rPr>
          <w:rFonts w:ascii="宋体" w:hAnsi="宋体" w:cs="宋体"/>
          <w:sz w:val="24"/>
          <w:szCs w:val="24"/>
        </w:rPr>
      </w:pPr>
      <w:r>
        <w:rPr>
          <w:rFonts w:hint="eastAsia" w:ascii="宋体" w:hAnsi="宋体" w:cs="宋体"/>
          <w:sz w:val="24"/>
          <w:szCs w:val="24"/>
        </w:rPr>
        <w:t>6.1 交货方式一般为下列其中一种，具体在合同特殊条款中规定。</w:t>
      </w:r>
    </w:p>
    <w:p w14:paraId="23AE2F39">
      <w:pPr>
        <w:snapToGrid w:val="0"/>
        <w:spacing w:line="360" w:lineRule="auto"/>
        <w:ind w:firstLine="480" w:firstLineChars="200"/>
        <w:rPr>
          <w:rFonts w:ascii="宋体" w:hAnsi="宋体" w:cs="宋体"/>
          <w:sz w:val="24"/>
          <w:szCs w:val="24"/>
        </w:rPr>
      </w:pPr>
      <w:r>
        <w:rPr>
          <w:rFonts w:hint="eastAsia" w:ascii="宋体" w:hAnsi="宋体" w:cs="宋体"/>
          <w:sz w:val="24"/>
          <w:szCs w:val="24"/>
        </w:rPr>
        <w:t>6.</w:t>
      </w:r>
      <w:bookmarkStart w:id="19" w:name="_Toc330473014"/>
      <w:bookmarkStart w:id="20" w:name="_Toc289327691"/>
      <w:r>
        <w:rPr>
          <w:rFonts w:hint="eastAsia" w:ascii="宋体" w:hAnsi="宋体" w:cs="宋体"/>
          <w:sz w:val="24"/>
          <w:szCs w:val="24"/>
        </w:rPr>
        <w:t>1.1 现场交货：卖</w:t>
      </w:r>
      <w:bookmarkEnd w:id="19"/>
      <w:bookmarkEnd w:id="20"/>
      <w:r>
        <w:rPr>
          <w:rFonts w:hint="eastAsia" w:ascii="宋体" w:hAnsi="宋体" w:cs="宋体"/>
          <w:sz w:val="24"/>
          <w:szCs w:val="24"/>
        </w:rPr>
        <w:t>方负责办理运输和保险，将货物运抵现场。有关运输和保险的一切费用由卖方承担。所有货物运抵现场的日期为交货日期。</w:t>
      </w:r>
    </w:p>
    <w:p w14:paraId="25BE65DF">
      <w:pPr>
        <w:snapToGrid w:val="0"/>
        <w:spacing w:line="360" w:lineRule="auto"/>
        <w:ind w:firstLine="480" w:firstLineChars="200"/>
        <w:rPr>
          <w:rFonts w:ascii="宋体" w:hAnsi="宋体" w:cs="宋体"/>
          <w:sz w:val="24"/>
          <w:szCs w:val="24"/>
        </w:rPr>
      </w:pPr>
      <w:r>
        <w:rPr>
          <w:rFonts w:hint="eastAsia" w:ascii="宋体" w:hAnsi="宋体" w:cs="宋体"/>
          <w:sz w:val="24"/>
          <w:szCs w:val="24"/>
        </w:rPr>
        <w:t>6.1.2 工厂交货：由卖方负责代办运输和保险事宜。运输费和保险费由买方承担。运输部门出具收据的日期为交货日期。</w:t>
      </w:r>
    </w:p>
    <w:p w14:paraId="4C34DE65">
      <w:pPr>
        <w:snapToGrid w:val="0"/>
        <w:spacing w:line="360" w:lineRule="auto"/>
        <w:ind w:firstLine="480" w:firstLineChars="200"/>
        <w:rPr>
          <w:rFonts w:ascii="宋体" w:hAnsi="宋体" w:cs="宋体"/>
          <w:sz w:val="24"/>
          <w:szCs w:val="24"/>
        </w:rPr>
      </w:pPr>
      <w:r>
        <w:rPr>
          <w:rFonts w:hint="eastAsia" w:ascii="宋体" w:hAnsi="宋体" w:cs="宋体"/>
          <w:sz w:val="24"/>
          <w:szCs w:val="24"/>
        </w:rPr>
        <w:t>6.1.3 买方自提货物：由买方在合同规定地点自行办理提货。提单日期为交货日期。</w:t>
      </w:r>
    </w:p>
    <w:p w14:paraId="41B0B760">
      <w:pPr>
        <w:snapToGrid w:val="0"/>
        <w:spacing w:line="360" w:lineRule="auto"/>
        <w:ind w:firstLine="480" w:firstLineChars="200"/>
        <w:rPr>
          <w:rFonts w:ascii="宋体" w:hAnsi="宋体" w:cs="宋体"/>
          <w:sz w:val="24"/>
          <w:szCs w:val="24"/>
        </w:rPr>
      </w:pPr>
      <w:r>
        <w:rPr>
          <w:rFonts w:hint="eastAsia" w:ascii="宋体" w:hAnsi="宋体" w:cs="宋体"/>
          <w:sz w:val="24"/>
          <w:szCs w:val="24"/>
        </w:rPr>
        <w:t>6.2 卖方应在合同规定的交货期</w:t>
      </w:r>
      <w:r>
        <w:rPr>
          <w:rFonts w:hint="eastAsia" w:ascii="宋体" w:hAnsi="宋体" w:cs="宋体"/>
          <w:sz w:val="24"/>
          <w:szCs w:val="24"/>
          <w:u w:val="single" w:color="FF0000"/>
        </w:rPr>
        <w:t>2</w:t>
      </w:r>
      <w:r>
        <w:rPr>
          <w:rFonts w:hint="eastAsia" w:ascii="宋体" w:hAnsi="宋体" w:cs="宋体"/>
          <w:sz w:val="24"/>
          <w:szCs w:val="24"/>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2465F9E8">
      <w:pPr>
        <w:tabs>
          <w:tab w:val="left" w:pos="719"/>
        </w:tabs>
        <w:snapToGrid w:val="0"/>
        <w:spacing w:line="360" w:lineRule="auto"/>
        <w:ind w:firstLine="480" w:firstLineChars="200"/>
        <w:rPr>
          <w:rFonts w:ascii="宋体" w:hAnsi="宋体" w:cs="宋体"/>
          <w:sz w:val="24"/>
          <w:szCs w:val="24"/>
        </w:rPr>
      </w:pPr>
      <w:r>
        <w:rPr>
          <w:rFonts w:hint="eastAsia" w:ascii="宋体" w:hAnsi="宋体" w:cs="宋体"/>
          <w:sz w:val="24"/>
          <w:szCs w:val="24"/>
        </w:rPr>
        <w:t>6.3 在现场交货和工厂交货条件下，卖方装运的货物不应超过合同规定的数量或重量。否则，卖方应对超运部分引起的一切后果负责。</w:t>
      </w:r>
    </w:p>
    <w:p w14:paraId="70B01346">
      <w:pPr>
        <w:pStyle w:val="3"/>
        <w:widowControl/>
        <w:snapToGrid w:val="0"/>
        <w:spacing w:before="0" w:after="0" w:line="360" w:lineRule="auto"/>
        <w:ind w:firstLine="482" w:firstLineChars="200"/>
        <w:jc w:val="both"/>
        <w:rPr>
          <w:rFonts w:hint="default" w:hAnsi="宋体" w:cs="宋体"/>
          <w:szCs w:val="24"/>
        </w:rPr>
      </w:pPr>
      <w:bookmarkStart w:id="21" w:name="_Toc366495198"/>
      <w:r>
        <w:rPr>
          <w:rFonts w:hAnsi="宋体" w:cs="宋体"/>
          <w:szCs w:val="24"/>
          <w:u w:val="none"/>
        </w:rPr>
        <w:t>7. 装运通知</w:t>
      </w:r>
      <w:bookmarkEnd w:id="21"/>
    </w:p>
    <w:p w14:paraId="79C7002D">
      <w:pPr>
        <w:snapToGrid w:val="0"/>
        <w:spacing w:line="360" w:lineRule="auto"/>
        <w:ind w:firstLine="480" w:firstLineChars="200"/>
        <w:rPr>
          <w:rFonts w:ascii="宋体" w:hAnsi="宋体" w:cs="宋体"/>
          <w:sz w:val="24"/>
          <w:szCs w:val="24"/>
        </w:rPr>
      </w:pPr>
      <w:r>
        <w:rPr>
          <w:rFonts w:hint="eastAsia" w:ascii="宋体" w:hAnsi="宋体" w:cs="宋体"/>
          <w:sz w:val="24"/>
          <w:szCs w:val="24"/>
        </w:rPr>
        <w:t>7.1 在现场交货和工厂交货条件下的货物，卖方通知买方货物已备妥待运</w:t>
      </w:r>
      <w:bookmarkStart w:id="22" w:name="_Toc330473015"/>
      <w:bookmarkStart w:id="23" w:name="_Toc289327692"/>
      <w:r>
        <w:rPr>
          <w:rFonts w:hint="eastAsia" w:ascii="宋体" w:hAnsi="宋体" w:cs="宋体"/>
          <w:sz w:val="24"/>
          <w:szCs w:val="24"/>
        </w:rPr>
        <w:t>输后24小时之内，应将合</w:t>
      </w:r>
      <w:bookmarkEnd w:id="22"/>
      <w:bookmarkEnd w:id="23"/>
      <w:r>
        <w:rPr>
          <w:rFonts w:hint="eastAsia" w:ascii="宋体" w:hAnsi="宋体" w:cs="宋体"/>
          <w:sz w:val="24"/>
          <w:szCs w:val="24"/>
        </w:rPr>
        <w:t>同号、货名、数量、毛重、总体积（立方米）、发票金额、运输工具名称及装运日期，以电报或传真通知买方。</w:t>
      </w:r>
    </w:p>
    <w:p w14:paraId="7275A6B5">
      <w:pPr>
        <w:pStyle w:val="17"/>
        <w:widowControl w:val="0"/>
        <w:snapToGrid w:val="0"/>
        <w:spacing w:before="0" w:line="360" w:lineRule="auto"/>
        <w:ind w:left="0" w:firstLine="480" w:firstLineChars="200"/>
        <w:jc w:val="both"/>
        <w:rPr>
          <w:rFonts w:hint="default" w:hAnsi="宋体" w:cs="宋体"/>
          <w:color w:val="auto"/>
          <w:szCs w:val="24"/>
        </w:rPr>
      </w:pPr>
      <w:r>
        <w:rPr>
          <w:rFonts w:hAnsi="宋体" w:cs="宋体"/>
          <w:color w:val="auto"/>
          <w:szCs w:val="24"/>
        </w:rPr>
        <w:t>7.2 如因卖方延误将上述内容用电报或传真通知买方，由此引起的一切后果损失应由卖方负责。</w:t>
      </w:r>
    </w:p>
    <w:p w14:paraId="08AEDFE6">
      <w:pPr>
        <w:pStyle w:val="3"/>
        <w:widowControl/>
        <w:snapToGrid w:val="0"/>
        <w:spacing w:before="0" w:after="0" w:line="360" w:lineRule="auto"/>
        <w:ind w:firstLine="482" w:firstLineChars="200"/>
        <w:jc w:val="both"/>
        <w:rPr>
          <w:rFonts w:hint="default" w:hAnsi="宋体" w:cs="宋体"/>
          <w:szCs w:val="24"/>
        </w:rPr>
      </w:pPr>
      <w:bookmarkStart w:id="24" w:name="_Toc366495199"/>
      <w:r>
        <w:rPr>
          <w:rFonts w:hAnsi="宋体" w:cs="宋体"/>
          <w:szCs w:val="24"/>
          <w:u w:val="none"/>
        </w:rPr>
        <w:t>8. 保险</w:t>
      </w:r>
      <w:bookmarkEnd w:id="24"/>
    </w:p>
    <w:p w14:paraId="7124AA87">
      <w:pPr>
        <w:snapToGrid w:val="0"/>
        <w:spacing w:line="360" w:lineRule="auto"/>
        <w:ind w:firstLine="480" w:firstLineChars="200"/>
        <w:rPr>
          <w:rFonts w:ascii="宋体" w:hAnsi="宋体" w:cs="宋体"/>
          <w:sz w:val="24"/>
          <w:szCs w:val="24"/>
        </w:rPr>
      </w:pPr>
      <w:r>
        <w:rPr>
          <w:rFonts w:hint="eastAsia" w:ascii="宋体" w:hAnsi="宋体" w:cs="宋体"/>
          <w:sz w:val="24"/>
          <w:szCs w:val="24"/>
        </w:rPr>
        <w:t>8.1 如果货物是按现场交货方式或工厂交货方式报价的，由卖方按照发票金额</w:t>
      </w:r>
      <w:bookmarkStart w:id="25" w:name="_Toc289327693"/>
      <w:bookmarkStart w:id="26" w:name="_Toc330473016"/>
      <w:r>
        <w:rPr>
          <w:rFonts w:hint="eastAsia" w:ascii="宋体" w:hAnsi="宋体" w:cs="宋体"/>
          <w:sz w:val="24"/>
          <w:szCs w:val="24"/>
        </w:rPr>
        <w:t>的110%办理“一切</w:t>
      </w:r>
      <w:bookmarkEnd w:id="25"/>
      <w:bookmarkEnd w:id="26"/>
      <w:r>
        <w:rPr>
          <w:rFonts w:hint="eastAsia" w:ascii="宋体" w:hAnsi="宋体" w:cs="宋体"/>
          <w:sz w:val="24"/>
          <w:szCs w:val="24"/>
        </w:rPr>
        <w:t>险”；如果货物是按买方自提货物方式报价的，其保险由买方办理。</w:t>
      </w:r>
    </w:p>
    <w:p w14:paraId="6AEE7D87">
      <w:pPr>
        <w:pStyle w:val="3"/>
        <w:widowControl/>
        <w:snapToGrid w:val="0"/>
        <w:spacing w:before="0" w:after="0" w:line="360" w:lineRule="auto"/>
        <w:ind w:firstLine="482" w:firstLineChars="200"/>
        <w:jc w:val="both"/>
        <w:rPr>
          <w:rFonts w:hint="default" w:hAnsi="宋体" w:cs="宋体"/>
          <w:szCs w:val="24"/>
        </w:rPr>
      </w:pPr>
      <w:bookmarkStart w:id="27" w:name="_Toc366495200"/>
      <w:r>
        <w:rPr>
          <w:rFonts w:hAnsi="宋体" w:cs="宋体"/>
          <w:szCs w:val="24"/>
          <w:u w:val="none"/>
        </w:rPr>
        <w:t>9. 付款条件</w:t>
      </w:r>
      <w:bookmarkEnd w:id="27"/>
    </w:p>
    <w:p w14:paraId="1DC5829E">
      <w:pPr>
        <w:snapToGrid w:val="0"/>
        <w:spacing w:line="360" w:lineRule="auto"/>
        <w:ind w:firstLine="480" w:firstLineChars="200"/>
        <w:rPr>
          <w:rFonts w:ascii="宋体" w:hAnsi="宋体" w:cs="宋体"/>
          <w:sz w:val="24"/>
          <w:szCs w:val="24"/>
        </w:rPr>
      </w:pPr>
      <w:r>
        <w:rPr>
          <w:rFonts w:hint="eastAsia" w:ascii="宋体" w:hAnsi="宋体" w:cs="宋体"/>
          <w:sz w:val="24"/>
          <w:szCs w:val="24"/>
        </w:rPr>
        <w:t>9.1 付款条件见“合同特殊条款”。</w:t>
      </w:r>
    </w:p>
    <w:p w14:paraId="2FC40561">
      <w:pPr>
        <w:pStyle w:val="3"/>
        <w:widowControl/>
        <w:snapToGrid w:val="0"/>
        <w:spacing w:before="0" w:after="0" w:line="360" w:lineRule="auto"/>
        <w:ind w:firstLine="482" w:firstLineChars="200"/>
        <w:jc w:val="both"/>
        <w:rPr>
          <w:rFonts w:hint="default" w:hAnsi="宋体" w:cs="宋体"/>
          <w:szCs w:val="24"/>
        </w:rPr>
      </w:pPr>
      <w:bookmarkStart w:id="28" w:name="_Toc366495201"/>
      <w:r>
        <w:rPr>
          <w:rFonts w:hAnsi="宋体" w:cs="宋体"/>
          <w:szCs w:val="24"/>
          <w:u w:val="none"/>
        </w:rPr>
        <w:t>10. 技术资料</w:t>
      </w:r>
      <w:bookmarkEnd w:id="28"/>
    </w:p>
    <w:p w14:paraId="2767E737">
      <w:pPr>
        <w:snapToGrid w:val="0"/>
        <w:spacing w:line="360" w:lineRule="auto"/>
        <w:ind w:firstLine="480" w:firstLineChars="200"/>
        <w:rPr>
          <w:rFonts w:ascii="宋体" w:hAnsi="宋体" w:cs="宋体"/>
          <w:sz w:val="24"/>
          <w:szCs w:val="24"/>
        </w:rPr>
      </w:pPr>
      <w:r>
        <w:rPr>
          <w:rFonts w:hint="eastAsia" w:ascii="宋体" w:hAnsi="宋体" w:cs="宋体"/>
          <w:sz w:val="24"/>
          <w:szCs w:val="24"/>
        </w:rPr>
        <w:t>10</w:t>
      </w:r>
      <w:bookmarkStart w:id="29" w:name="_Toc289327694"/>
      <w:bookmarkStart w:id="30" w:name="_Toc330473017"/>
      <w:r>
        <w:rPr>
          <w:rFonts w:hint="eastAsia" w:ascii="宋体" w:hAnsi="宋体" w:cs="宋体"/>
          <w:sz w:val="24"/>
          <w:szCs w:val="24"/>
        </w:rPr>
        <w:t>.1 合同项下技术</w:t>
      </w:r>
      <w:bookmarkEnd w:id="29"/>
      <w:bookmarkEnd w:id="30"/>
      <w:r>
        <w:rPr>
          <w:rFonts w:hint="eastAsia" w:ascii="宋体" w:hAnsi="宋体" w:cs="宋体"/>
          <w:sz w:val="24"/>
          <w:szCs w:val="24"/>
        </w:rPr>
        <w:t>资料（除合同特殊条款规定外）将以下列方式交付：</w:t>
      </w:r>
    </w:p>
    <w:p w14:paraId="083FA5F7">
      <w:pPr>
        <w:snapToGrid w:val="0"/>
        <w:spacing w:line="360" w:lineRule="auto"/>
        <w:ind w:firstLine="480" w:firstLineChars="200"/>
        <w:rPr>
          <w:rFonts w:ascii="宋体" w:hAnsi="宋体" w:cs="宋体"/>
          <w:sz w:val="24"/>
          <w:szCs w:val="24"/>
        </w:rPr>
      </w:pPr>
      <w:bookmarkStart w:id="31" w:name="_Toc330473018"/>
      <w:bookmarkStart w:id="32" w:name="_Toc289327695"/>
      <w:r>
        <w:rPr>
          <w:rFonts w:hint="eastAsia" w:ascii="宋体" w:hAnsi="宋体" w:cs="宋体"/>
          <w:sz w:val="24"/>
          <w:szCs w:val="24"/>
        </w:rPr>
        <w:t>合同生效后2天之内，卖</w:t>
      </w:r>
      <w:bookmarkEnd w:id="31"/>
      <w:bookmarkEnd w:id="32"/>
      <w:r>
        <w:rPr>
          <w:rFonts w:hint="eastAsia" w:ascii="宋体" w:hAnsi="宋体" w:cs="宋体"/>
          <w:sz w:val="24"/>
          <w:szCs w:val="24"/>
        </w:rPr>
        <w:t>方应将货物包括但不限于每台设备和仪器的中文技术资料一套，如目录索引、图纸、操作手册、使用指南、维修指南和／或服务手册和示意图寄给买方。</w:t>
      </w:r>
    </w:p>
    <w:p w14:paraId="4887B708">
      <w:pPr>
        <w:snapToGrid w:val="0"/>
        <w:spacing w:line="360" w:lineRule="auto"/>
        <w:ind w:firstLine="480" w:firstLineChars="200"/>
        <w:rPr>
          <w:rFonts w:ascii="宋体" w:hAnsi="宋体" w:cs="宋体"/>
          <w:sz w:val="24"/>
          <w:szCs w:val="24"/>
        </w:rPr>
      </w:pPr>
      <w:r>
        <w:rPr>
          <w:rFonts w:hint="eastAsia" w:ascii="宋体" w:hAnsi="宋体" w:cs="宋体"/>
          <w:sz w:val="24"/>
          <w:szCs w:val="24"/>
        </w:rPr>
        <w:t>10.2 另外一套完整的上述资料应包装好随同每批货物一起发运。</w:t>
      </w:r>
    </w:p>
    <w:p w14:paraId="5506DF0A">
      <w:pPr>
        <w:snapToGrid w:val="0"/>
        <w:spacing w:line="360" w:lineRule="auto"/>
        <w:ind w:firstLine="480" w:firstLineChars="200"/>
        <w:rPr>
          <w:rFonts w:ascii="宋体" w:hAnsi="宋体" w:cs="宋体"/>
          <w:sz w:val="24"/>
          <w:szCs w:val="24"/>
        </w:rPr>
      </w:pPr>
      <w:r>
        <w:rPr>
          <w:rFonts w:hint="eastAsia" w:ascii="宋体" w:hAnsi="宋体" w:cs="宋体"/>
          <w:sz w:val="24"/>
          <w:szCs w:val="24"/>
        </w:rPr>
        <w:t>10.3 如果买方确认卖方提供的技术资料不完整或在运输过程中丢失，卖方将在收到买方通知后天内将这些资料免费寄给买方。</w:t>
      </w:r>
    </w:p>
    <w:p w14:paraId="4CB93C82">
      <w:pPr>
        <w:pStyle w:val="3"/>
        <w:widowControl/>
        <w:snapToGrid w:val="0"/>
        <w:spacing w:before="0" w:after="0" w:line="360" w:lineRule="auto"/>
        <w:ind w:firstLine="482" w:firstLineChars="200"/>
        <w:jc w:val="both"/>
        <w:rPr>
          <w:rFonts w:hint="default" w:hAnsi="宋体" w:cs="宋体"/>
          <w:szCs w:val="24"/>
        </w:rPr>
      </w:pPr>
      <w:bookmarkStart w:id="33" w:name="_Toc366495202"/>
      <w:r>
        <w:rPr>
          <w:rFonts w:hAnsi="宋体" w:cs="宋体"/>
          <w:szCs w:val="24"/>
          <w:u w:val="none"/>
        </w:rPr>
        <w:t>11. 质量保证</w:t>
      </w:r>
      <w:bookmarkEnd w:id="33"/>
    </w:p>
    <w:p w14:paraId="53B4C9BA">
      <w:pPr>
        <w:snapToGrid w:val="0"/>
        <w:spacing w:line="360" w:lineRule="auto"/>
        <w:ind w:firstLine="480" w:firstLineChars="200"/>
        <w:rPr>
          <w:rFonts w:ascii="宋体" w:hAnsi="宋体" w:cs="宋体"/>
          <w:sz w:val="24"/>
          <w:szCs w:val="24"/>
        </w:rPr>
      </w:pPr>
      <w:r>
        <w:rPr>
          <w:rFonts w:hint="eastAsia" w:ascii="宋体" w:hAnsi="宋体" w:cs="宋体"/>
          <w:sz w:val="24"/>
          <w:szCs w:val="24"/>
        </w:rPr>
        <w:t>11.1 卖方须保证货物是全新、未使用过的，并完全符合强制性的国家技术</w:t>
      </w:r>
      <w:bookmarkStart w:id="34" w:name="_Toc289327696"/>
      <w:bookmarkStart w:id="35" w:name="_Toc330473019"/>
      <w:r>
        <w:rPr>
          <w:rFonts w:hint="eastAsia" w:ascii="宋体" w:hAnsi="宋体" w:cs="宋体"/>
          <w:sz w:val="24"/>
          <w:szCs w:val="24"/>
        </w:rPr>
        <w:t>质量规范和合同规定的质量</w:t>
      </w:r>
      <w:bookmarkEnd w:id="34"/>
      <w:bookmarkEnd w:id="35"/>
      <w:r>
        <w:rPr>
          <w:rFonts w:hint="eastAsia" w:ascii="宋体" w:hAnsi="宋体" w:cs="宋体"/>
          <w:sz w:val="24"/>
          <w:szCs w:val="24"/>
        </w:rPr>
        <w:t>、规格、性能和技术规范等的要求。</w:t>
      </w:r>
    </w:p>
    <w:p w14:paraId="5AEA5FDB">
      <w:pPr>
        <w:snapToGrid w:val="0"/>
        <w:spacing w:line="360" w:lineRule="auto"/>
        <w:ind w:firstLine="480" w:firstLineChars="200"/>
        <w:rPr>
          <w:rFonts w:ascii="宋体" w:hAnsi="宋体" w:cs="宋体"/>
          <w:sz w:val="24"/>
          <w:szCs w:val="24"/>
        </w:rPr>
      </w:pPr>
      <w:r>
        <w:rPr>
          <w:rFonts w:hint="eastAsia" w:ascii="宋体" w:hAnsi="宋体" w:cs="宋体"/>
          <w:sz w:val="24"/>
          <w:szCs w:val="24"/>
        </w:rPr>
        <w:t>11.2 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43273E88">
      <w:pPr>
        <w:snapToGrid w:val="0"/>
        <w:spacing w:line="360" w:lineRule="auto"/>
        <w:ind w:firstLine="480" w:firstLineChars="200"/>
        <w:rPr>
          <w:rFonts w:ascii="宋体" w:hAnsi="宋体" w:cs="宋体"/>
          <w:sz w:val="24"/>
          <w:szCs w:val="24"/>
        </w:rPr>
      </w:pPr>
      <w:r>
        <w:rPr>
          <w:rFonts w:hint="eastAsia" w:ascii="宋体" w:hAnsi="宋体" w:cs="宋体"/>
          <w:sz w:val="24"/>
          <w:szCs w:val="24"/>
        </w:rPr>
        <w:t>11.3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2天内应免费维修或更换有缺陷的货物或部件。</w:t>
      </w:r>
    </w:p>
    <w:p w14:paraId="74C94F1F">
      <w:pPr>
        <w:snapToGrid w:val="0"/>
        <w:spacing w:line="360" w:lineRule="auto"/>
        <w:ind w:firstLine="480" w:firstLineChars="200"/>
        <w:rPr>
          <w:rFonts w:ascii="宋体" w:hAnsi="宋体" w:cs="宋体"/>
          <w:sz w:val="24"/>
          <w:szCs w:val="24"/>
        </w:rPr>
      </w:pPr>
      <w:r>
        <w:rPr>
          <w:rFonts w:hint="eastAsia" w:ascii="宋体" w:hAnsi="宋体" w:cs="宋体"/>
          <w:sz w:val="24"/>
          <w:szCs w:val="24"/>
        </w:rPr>
        <w:t>11.4 如果卖方在收到通知后天内没有弥补缺陷，买方可采取必要的补救措施，但由此引发的风险和费用将由卖方承担。</w:t>
      </w:r>
    </w:p>
    <w:p w14:paraId="40690A7B">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11.5 除合同书、合同特殊条款或招标文件/谈判文件、报价文件“货物内容及要求”部分货物质保特殊要求以外，合同项下货物的质量保证期为自货物通过最终验收起</w:t>
      </w:r>
      <w:r>
        <w:rPr>
          <w:rFonts w:hint="eastAsia" w:ascii="宋体" w:hAnsi="宋体" w:cs="宋体"/>
          <w:b/>
          <w:sz w:val="24"/>
          <w:szCs w:val="24"/>
          <w:u w:val="single"/>
        </w:rPr>
        <w:t>1</w:t>
      </w:r>
      <w:r>
        <w:rPr>
          <w:rFonts w:hint="eastAsia" w:ascii="宋体" w:hAnsi="宋体" w:cs="宋体"/>
          <w:b/>
          <w:sz w:val="24"/>
          <w:szCs w:val="24"/>
        </w:rPr>
        <w:t>年。</w:t>
      </w:r>
    </w:p>
    <w:p w14:paraId="5E76B296">
      <w:pPr>
        <w:pStyle w:val="3"/>
        <w:widowControl/>
        <w:snapToGrid w:val="0"/>
        <w:spacing w:before="0" w:after="0" w:line="360" w:lineRule="auto"/>
        <w:ind w:firstLine="482" w:firstLineChars="200"/>
        <w:jc w:val="both"/>
        <w:rPr>
          <w:rFonts w:hint="default" w:hAnsi="宋体" w:cs="宋体"/>
          <w:szCs w:val="24"/>
        </w:rPr>
      </w:pPr>
      <w:bookmarkStart w:id="36" w:name="_Toc366495203"/>
      <w:r>
        <w:rPr>
          <w:rFonts w:hAnsi="宋体" w:cs="宋体"/>
          <w:szCs w:val="24"/>
          <w:u w:val="none"/>
        </w:rPr>
        <w:t>12. 检验和验收</w:t>
      </w:r>
      <w:bookmarkEnd w:id="36"/>
    </w:p>
    <w:p w14:paraId="1A6A3A6D">
      <w:pPr>
        <w:snapToGrid w:val="0"/>
        <w:spacing w:line="360" w:lineRule="auto"/>
        <w:ind w:firstLine="480" w:firstLineChars="200"/>
        <w:rPr>
          <w:rFonts w:ascii="宋体" w:hAnsi="宋体" w:cs="宋体"/>
          <w:sz w:val="24"/>
          <w:szCs w:val="24"/>
        </w:rPr>
      </w:pPr>
      <w:r>
        <w:rPr>
          <w:rFonts w:hint="eastAsia" w:ascii="宋体" w:hAnsi="宋体" w:cs="宋体"/>
          <w:sz w:val="24"/>
          <w:szCs w:val="24"/>
        </w:rPr>
        <w:t>12.1 在交货前，中标人/成交人应对货物的质量、规格、性能、数量和重量等进</w:t>
      </w:r>
      <w:bookmarkStart w:id="37" w:name="_Toc330473020"/>
      <w:bookmarkStart w:id="38" w:name="_Toc289327697"/>
      <w:r>
        <w:rPr>
          <w:rFonts w:hint="eastAsia" w:ascii="宋体" w:hAnsi="宋体" w:cs="宋体"/>
          <w:sz w:val="24"/>
          <w:szCs w:val="24"/>
        </w:rPr>
        <w:t>行详细而全面的检验，并出具</w:t>
      </w:r>
      <w:bookmarkEnd w:id="37"/>
      <w:bookmarkEnd w:id="38"/>
      <w:r>
        <w:rPr>
          <w:rFonts w:hint="eastAsia" w:ascii="宋体" w:hAnsi="宋体" w:cs="宋体"/>
          <w:sz w:val="24"/>
          <w:szCs w:val="24"/>
        </w:rPr>
        <w:t>证明货物符合合同规定的文件。该文件将作为申请付款单据的一部分，但有关质量、规格、性能、数量或重量的检验不应视为最终检验。</w:t>
      </w:r>
    </w:p>
    <w:p w14:paraId="5AD4EC53">
      <w:pPr>
        <w:snapToGrid w:val="0"/>
        <w:spacing w:line="360" w:lineRule="auto"/>
        <w:ind w:firstLine="480" w:firstLineChars="200"/>
        <w:rPr>
          <w:rFonts w:ascii="宋体" w:hAnsi="宋体" w:cs="宋体"/>
          <w:sz w:val="24"/>
          <w:szCs w:val="24"/>
        </w:rPr>
      </w:pPr>
      <w:r>
        <w:rPr>
          <w:rFonts w:hint="eastAsia" w:ascii="宋体" w:hAnsi="宋体" w:cs="宋体"/>
          <w:sz w:val="24"/>
          <w:szCs w:val="24"/>
        </w:rPr>
        <w:t>12.2 货物运抵现场后，买方应在</w:t>
      </w:r>
      <w:r>
        <w:rPr>
          <w:rFonts w:hint="eastAsia" w:ascii="宋体" w:hAnsi="宋体" w:cs="宋体"/>
          <w:sz w:val="24"/>
          <w:szCs w:val="24"/>
          <w:u w:val="single"/>
        </w:rPr>
        <w:t>7</w:t>
      </w:r>
      <w:r>
        <w:rPr>
          <w:rFonts w:hint="eastAsia" w:ascii="宋体" w:hAnsi="宋体" w:cs="宋体"/>
          <w:sz w:val="24"/>
          <w:szCs w:val="24"/>
        </w:rPr>
        <w:t>日内组织验收，并制作验收单存档。</w:t>
      </w:r>
    </w:p>
    <w:p w14:paraId="6C64DC73">
      <w:pPr>
        <w:snapToGrid w:val="0"/>
        <w:spacing w:line="360" w:lineRule="auto"/>
        <w:ind w:firstLine="480" w:firstLineChars="200"/>
        <w:rPr>
          <w:rFonts w:ascii="宋体" w:hAnsi="宋体" w:cs="宋体"/>
          <w:sz w:val="24"/>
          <w:szCs w:val="24"/>
        </w:rPr>
      </w:pPr>
      <w:r>
        <w:rPr>
          <w:rFonts w:hint="eastAsia" w:ascii="宋体" w:hAnsi="宋体" w:cs="宋体"/>
          <w:sz w:val="24"/>
          <w:szCs w:val="24"/>
        </w:rPr>
        <w:t>12.3 买方有在货物制造过程中派员监造的权利，卖方有义务为买方监造人员行使该权利提供方便。</w:t>
      </w:r>
    </w:p>
    <w:p w14:paraId="6374A5F1">
      <w:pPr>
        <w:snapToGrid w:val="0"/>
        <w:spacing w:line="360" w:lineRule="auto"/>
        <w:ind w:firstLine="480" w:firstLineChars="200"/>
        <w:rPr>
          <w:rFonts w:ascii="宋体" w:hAnsi="宋体" w:cs="宋体"/>
          <w:sz w:val="24"/>
          <w:szCs w:val="24"/>
        </w:rPr>
      </w:pPr>
      <w:r>
        <w:rPr>
          <w:rFonts w:hint="eastAsia" w:ascii="宋体" w:hAnsi="宋体" w:cs="宋体"/>
          <w:sz w:val="24"/>
          <w:szCs w:val="24"/>
        </w:rPr>
        <w:t>12.4 制造厂对所供货物进行机械运转试验和性能试验时，中标人/成交人必须提前通知买方。</w:t>
      </w:r>
    </w:p>
    <w:p w14:paraId="5CAE09AD">
      <w:pPr>
        <w:pStyle w:val="3"/>
        <w:widowControl/>
        <w:snapToGrid w:val="0"/>
        <w:spacing w:before="0" w:after="0" w:line="360" w:lineRule="auto"/>
        <w:ind w:firstLine="482" w:firstLineChars="200"/>
        <w:jc w:val="both"/>
        <w:rPr>
          <w:rFonts w:hint="default" w:hAnsi="宋体" w:cs="宋体"/>
          <w:szCs w:val="24"/>
        </w:rPr>
      </w:pPr>
      <w:bookmarkStart w:id="39" w:name="_Toc366495204"/>
      <w:r>
        <w:rPr>
          <w:rFonts w:hAnsi="宋体" w:cs="宋体"/>
          <w:szCs w:val="24"/>
          <w:u w:val="none"/>
        </w:rPr>
        <w:t>13. 索赔</w:t>
      </w:r>
      <w:bookmarkEnd w:id="39"/>
    </w:p>
    <w:p w14:paraId="608D8512">
      <w:pPr>
        <w:snapToGrid w:val="0"/>
        <w:spacing w:line="360" w:lineRule="auto"/>
        <w:ind w:firstLine="480" w:firstLineChars="200"/>
        <w:rPr>
          <w:rFonts w:ascii="宋体" w:hAnsi="宋体" w:cs="宋体"/>
          <w:sz w:val="24"/>
          <w:szCs w:val="24"/>
        </w:rPr>
      </w:pPr>
      <w:r>
        <w:rPr>
          <w:rFonts w:hint="eastAsia" w:ascii="宋体" w:hAnsi="宋体" w:cs="宋体"/>
          <w:sz w:val="24"/>
          <w:szCs w:val="24"/>
        </w:rPr>
        <w:t>13.1 如果货物的质量、规格、数量、重量等与合同不符，或在第11.5规定</w:t>
      </w:r>
      <w:bookmarkStart w:id="40" w:name="_Toc330473021"/>
      <w:bookmarkStart w:id="41" w:name="_Toc289327698"/>
      <w:r>
        <w:rPr>
          <w:rFonts w:hint="eastAsia" w:ascii="宋体" w:hAnsi="宋体" w:cs="宋体"/>
          <w:sz w:val="24"/>
          <w:szCs w:val="24"/>
        </w:rPr>
        <w:t>的质量保证期内证实货</w:t>
      </w:r>
      <w:bookmarkEnd w:id="40"/>
      <w:bookmarkEnd w:id="41"/>
      <w:r>
        <w:rPr>
          <w:rFonts w:hint="eastAsia" w:ascii="宋体" w:hAnsi="宋体" w:cs="宋体"/>
          <w:sz w:val="24"/>
          <w:szCs w:val="24"/>
        </w:rPr>
        <w:t>物存有缺陷，包括潜在的缺陷或使用不符合要求的材料等，买方有权根据有资质的权威质检机构的检验结果向卖方提出索赔（但责任应由保险公司或运输部门承担的除外）。</w:t>
      </w:r>
    </w:p>
    <w:p w14:paraId="309F9BBF">
      <w:pPr>
        <w:snapToGrid w:val="0"/>
        <w:spacing w:line="360" w:lineRule="auto"/>
        <w:ind w:firstLine="480" w:firstLineChars="200"/>
        <w:rPr>
          <w:rFonts w:ascii="宋体" w:hAnsi="宋体" w:cs="宋体"/>
          <w:sz w:val="24"/>
          <w:szCs w:val="24"/>
        </w:rPr>
      </w:pPr>
      <w:r>
        <w:rPr>
          <w:rFonts w:hint="eastAsia" w:ascii="宋体" w:hAnsi="宋体" w:cs="宋体"/>
          <w:sz w:val="24"/>
          <w:szCs w:val="24"/>
        </w:rPr>
        <w:t>13.2 在根据合同第11条和第12条规定的检验期和质量保证期内，如果卖方对买方提出的索赔负有责任，卖方应按照买方同意的下列一种或多种方式解决索赔事宜：</w:t>
      </w:r>
    </w:p>
    <w:p w14:paraId="09A9760F">
      <w:pPr>
        <w:snapToGrid w:val="0"/>
        <w:spacing w:line="360" w:lineRule="auto"/>
        <w:ind w:firstLine="480" w:firstLineChars="200"/>
        <w:rPr>
          <w:rFonts w:ascii="宋体" w:hAnsi="宋体" w:cs="宋体"/>
          <w:sz w:val="24"/>
          <w:szCs w:val="24"/>
        </w:rPr>
      </w:pPr>
      <w:r>
        <w:rPr>
          <w:rFonts w:hint="eastAsia" w:ascii="宋体" w:hAnsi="宋体" w:cs="宋体"/>
          <w:sz w:val="24"/>
          <w:szCs w:val="24"/>
        </w:rPr>
        <w:t>13.2.1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6A2A4C3E">
      <w:pPr>
        <w:snapToGrid w:val="0"/>
        <w:spacing w:line="360" w:lineRule="auto"/>
        <w:ind w:firstLine="480" w:firstLineChars="200"/>
        <w:rPr>
          <w:rFonts w:ascii="宋体" w:hAnsi="宋体" w:cs="宋体"/>
          <w:sz w:val="24"/>
          <w:szCs w:val="24"/>
        </w:rPr>
      </w:pPr>
      <w:r>
        <w:rPr>
          <w:rFonts w:hint="eastAsia" w:ascii="宋体" w:hAnsi="宋体" w:cs="宋体"/>
          <w:sz w:val="24"/>
          <w:szCs w:val="24"/>
        </w:rPr>
        <w:t>13.2.2 根据货物低劣程度、损坏程度以及买方所遭受损失的数额，经买卖双方商定降低货物的价格，或由有权的部门评估，以降低后的价格或评估价格为准。</w:t>
      </w:r>
    </w:p>
    <w:p w14:paraId="5062E9CE">
      <w:pPr>
        <w:snapToGrid w:val="0"/>
        <w:spacing w:line="360" w:lineRule="auto"/>
        <w:ind w:firstLine="480" w:firstLineChars="200"/>
        <w:rPr>
          <w:rFonts w:ascii="宋体" w:hAnsi="宋体" w:cs="宋体"/>
          <w:sz w:val="24"/>
          <w:szCs w:val="24"/>
        </w:rPr>
      </w:pPr>
      <w:r>
        <w:rPr>
          <w:rFonts w:hint="eastAsia" w:ascii="宋体" w:hAnsi="宋体" w:cs="宋体"/>
          <w:sz w:val="24"/>
          <w:szCs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14:paraId="53D1131F">
      <w:pPr>
        <w:snapToGrid w:val="0"/>
        <w:spacing w:line="360" w:lineRule="auto"/>
        <w:ind w:firstLine="480" w:firstLineChars="200"/>
        <w:rPr>
          <w:rFonts w:ascii="宋体" w:hAnsi="宋体" w:cs="宋体"/>
          <w:sz w:val="24"/>
          <w:szCs w:val="24"/>
        </w:rPr>
      </w:pPr>
      <w:r>
        <w:rPr>
          <w:rFonts w:hint="eastAsia" w:ascii="宋体" w:hAnsi="宋体" w:cs="宋体"/>
          <w:sz w:val="24"/>
          <w:szCs w:val="24"/>
        </w:rPr>
        <w:t>13.3 如果在买方发出索赔通知后2天内，卖方未作答复，上述索赔应视为已被卖方接受。如卖方未能在买方提出索赔通知后2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17AE5B0E">
      <w:pPr>
        <w:pStyle w:val="3"/>
        <w:widowControl/>
        <w:snapToGrid w:val="0"/>
        <w:spacing w:before="0" w:after="0" w:line="360" w:lineRule="auto"/>
        <w:ind w:firstLine="482" w:firstLineChars="200"/>
        <w:jc w:val="both"/>
        <w:rPr>
          <w:rFonts w:hint="default" w:hAnsi="宋体" w:cs="宋体"/>
          <w:szCs w:val="24"/>
        </w:rPr>
      </w:pPr>
      <w:bookmarkStart w:id="42" w:name="_Toc366495205"/>
      <w:r>
        <w:rPr>
          <w:rFonts w:hAnsi="宋体" w:cs="宋体"/>
          <w:szCs w:val="24"/>
          <w:u w:val="none"/>
        </w:rPr>
        <w:t>14. 迟延交货</w:t>
      </w:r>
      <w:bookmarkEnd w:id="42"/>
    </w:p>
    <w:p w14:paraId="3F663891">
      <w:pPr>
        <w:snapToGrid w:val="0"/>
        <w:spacing w:line="360" w:lineRule="auto"/>
        <w:ind w:firstLine="480" w:firstLineChars="200"/>
        <w:rPr>
          <w:rFonts w:ascii="宋体" w:hAnsi="宋体" w:cs="宋体"/>
          <w:sz w:val="24"/>
          <w:szCs w:val="24"/>
        </w:rPr>
      </w:pPr>
      <w:r>
        <w:rPr>
          <w:rFonts w:hint="eastAsia" w:ascii="宋体" w:hAnsi="宋体" w:cs="宋体"/>
          <w:sz w:val="24"/>
          <w:szCs w:val="24"/>
        </w:rPr>
        <w:t>14.1 卖方应按照“货物需求一览表及技术规格”中买方规定的时间表交货</w:t>
      </w:r>
      <w:bookmarkStart w:id="43" w:name="_Toc289327699"/>
      <w:bookmarkStart w:id="44" w:name="_Toc330473022"/>
      <w:r>
        <w:rPr>
          <w:rFonts w:hint="eastAsia" w:ascii="宋体" w:hAnsi="宋体" w:cs="宋体"/>
          <w:sz w:val="24"/>
          <w:szCs w:val="24"/>
        </w:rPr>
        <w:t>和提供服务。</w:t>
      </w:r>
    </w:p>
    <w:p w14:paraId="38B6B171">
      <w:pPr>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14.2 </w:t>
      </w:r>
      <w:bookmarkEnd w:id="43"/>
      <w:bookmarkEnd w:id="44"/>
      <w:r>
        <w:rPr>
          <w:rFonts w:hint="eastAsia" w:ascii="宋体" w:hAnsi="宋体" w:cs="宋体"/>
          <w:sz w:val="24"/>
          <w:szCs w:val="24"/>
        </w:rPr>
        <w:t>如果卖方无正当理由迟延交货，买方有权提出违约损失赔偿或解除合同。</w:t>
      </w:r>
    </w:p>
    <w:p w14:paraId="6E390566">
      <w:pPr>
        <w:snapToGrid w:val="0"/>
        <w:spacing w:line="360" w:lineRule="auto"/>
        <w:ind w:firstLine="480" w:firstLineChars="200"/>
        <w:rPr>
          <w:rFonts w:ascii="宋体" w:hAnsi="宋体" w:cs="宋体"/>
          <w:sz w:val="24"/>
          <w:szCs w:val="24"/>
        </w:rPr>
      </w:pPr>
      <w:r>
        <w:rPr>
          <w:rFonts w:hint="eastAsia" w:ascii="宋体" w:hAnsi="宋体" w:cs="宋体"/>
          <w:sz w:val="24"/>
          <w:szCs w:val="24"/>
        </w:rPr>
        <w:t>14.3 在履行合同过程中，如果卖方遇到不能按时交货和提供服务的情况，应及时以书面形式将不能按时交货的理由、预期延误时间通知买方。买方收到卖方通知后，认为其理由正当的，可酌情延长交货时间。</w:t>
      </w:r>
    </w:p>
    <w:p w14:paraId="149E8617">
      <w:pPr>
        <w:pStyle w:val="3"/>
        <w:widowControl/>
        <w:snapToGrid w:val="0"/>
        <w:spacing w:before="0" w:after="0" w:line="360" w:lineRule="auto"/>
        <w:ind w:firstLine="482" w:firstLineChars="200"/>
        <w:jc w:val="both"/>
        <w:rPr>
          <w:rFonts w:hint="default" w:hAnsi="宋体" w:cs="宋体"/>
          <w:szCs w:val="24"/>
        </w:rPr>
      </w:pPr>
      <w:bookmarkStart w:id="45" w:name="_Toc366495206"/>
      <w:r>
        <w:rPr>
          <w:rFonts w:hAnsi="宋体" w:cs="宋体"/>
          <w:szCs w:val="24"/>
          <w:u w:val="none"/>
        </w:rPr>
        <w:t>15. 违约赔偿</w:t>
      </w:r>
      <w:bookmarkEnd w:id="45"/>
    </w:p>
    <w:p w14:paraId="66397330">
      <w:pPr>
        <w:snapToGrid w:val="0"/>
        <w:spacing w:line="360" w:lineRule="auto"/>
        <w:ind w:firstLine="480" w:firstLineChars="200"/>
        <w:rPr>
          <w:rFonts w:ascii="宋体" w:hAnsi="宋体" w:cs="宋体"/>
          <w:sz w:val="24"/>
          <w:szCs w:val="24"/>
        </w:rPr>
      </w:pPr>
      <w:r>
        <w:rPr>
          <w:rFonts w:hint="eastAsia" w:ascii="宋体" w:hAnsi="宋体" w:cs="宋体"/>
          <w:sz w:val="24"/>
          <w:szCs w:val="24"/>
        </w:rPr>
        <w:t>15.1 除合同第16条规定外，如果卖方没有按照合同规定的时间交货和提</w:t>
      </w:r>
      <w:bookmarkStart w:id="46" w:name="_Toc330473023"/>
      <w:bookmarkStart w:id="47" w:name="_Toc289327700"/>
      <w:r>
        <w:rPr>
          <w:rFonts w:hint="eastAsia" w:ascii="宋体" w:hAnsi="宋体" w:cs="宋体"/>
          <w:sz w:val="24"/>
          <w:szCs w:val="24"/>
        </w:rPr>
        <w:t>供服务，买方可要求卖方支</w:t>
      </w:r>
      <w:bookmarkEnd w:id="46"/>
      <w:bookmarkEnd w:id="47"/>
      <w:r>
        <w:rPr>
          <w:rFonts w:hint="eastAsia" w:ascii="宋体" w:hAnsi="宋体" w:cs="宋体"/>
          <w:sz w:val="24"/>
          <w:szCs w:val="24"/>
        </w:rPr>
        <w:t>付违约金。违约金按每周迟交货物或未提供服务交货价的0.5%计收。但违约金的最高限额为迟交货物或没有提供服务的合同价的5%。一周按７天计算，不足７天按一周计算。如果达到最高限额，买方有权解除合同。</w:t>
      </w:r>
    </w:p>
    <w:p w14:paraId="61962653">
      <w:pPr>
        <w:pStyle w:val="3"/>
        <w:widowControl/>
        <w:snapToGrid w:val="0"/>
        <w:spacing w:before="0" w:after="0" w:line="360" w:lineRule="auto"/>
        <w:ind w:firstLine="482" w:firstLineChars="200"/>
        <w:jc w:val="both"/>
        <w:rPr>
          <w:rFonts w:hint="default" w:hAnsi="宋体" w:cs="宋体"/>
          <w:szCs w:val="24"/>
        </w:rPr>
      </w:pPr>
      <w:bookmarkStart w:id="48" w:name="_Toc366495207"/>
      <w:r>
        <w:rPr>
          <w:rFonts w:hAnsi="宋体" w:cs="宋体"/>
          <w:szCs w:val="24"/>
          <w:u w:val="none"/>
        </w:rPr>
        <w:t>16. 不可抗力</w:t>
      </w:r>
      <w:bookmarkEnd w:id="48"/>
    </w:p>
    <w:p w14:paraId="61880A5D">
      <w:pPr>
        <w:snapToGrid w:val="0"/>
        <w:spacing w:line="360" w:lineRule="auto"/>
        <w:ind w:firstLine="480" w:firstLineChars="200"/>
        <w:rPr>
          <w:rFonts w:ascii="宋体" w:hAnsi="宋体" w:cs="宋体"/>
          <w:sz w:val="24"/>
          <w:szCs w:val="24"/>
        </w:rPr>
      </w:pPr>
      <w:r>
        <w:rPr>
          <w:rFonts w:hint="eastAsia" w:ascii="宋体" w:hAnsi="宋体" w:cs="宋体"/>
          <w:sz w:val="24"/>
          <w:szCs w:val="24"/>
        </w:rPr>
        <w:t>16.1 如果双方中任何一方遭遇法律规定的不可抗力，致使合同履行受阻时</w:t>
      </w:r>
      <w:bookmarkStart w:id="49" w:name="_Toc330473024"/>
      <w:bookmarkStart w:id="50" w:name="_Toc289327701"/>
      <w:r>
        <w:rPr>
          <w:rFonts w:hint="eastAsia" w:ascii="宋体" w:hAnsi="宋体" w:cs="宋体"/>
          <w:sz w:val="24"/>
          <w:szCs w:val="24"/>
        </w:rPr>
        <w:t>，履行合同的期限应予延长</w:t>
      </w:r>
      <w:bookmarkEnd w:id="49"/>
      <w:bookmarkEnd w:id="50"/>
      <w:r>
        <w:rPr>
          <w:rFonts w:hint="eastAsia" w:ascii="宋体" w:hAnsi="宋体" w:cs="宋体"/>
          <w:sz w:val="24"/>
          <w:szCs w:val="24"/>
        </w:rPr>
        <w:t>，延长的期限应相当于不可抗力所影响的时间。</w:t>
      </w:r>
    </w:p>
    <w:p w14:paraId="6B491494">
      <w:pPr>
        <w:snapToGrid w:val="0"/>
        <w:spacing w:line="360" w:lineRule="auto"/>
        <w:ind w:firstLine="480" w:firstLineChars="200"/>
        <w:rPr>
          <w:rFonts w:ascii="宋体" w:hAnsi="宋体" w:cs="宋体"/>
          <w:sz w:val="24"/>
          <w:szCs w:val="24"/>
        </w:rPr>
      </w:pPr>
      <w:r>
        <w:rPr>
          <w:rFonts w:hint="eastAsia" w:ascii="宋体" w:hAnsi="宋体" w:cs="宋体"/>
          <w:sz w:val="24"/>
          <w:szCs w:val="24"/>
        </w:rPr>
        <w:t>16.2 受事故影响的一方应在不可抗力的事故发生后尽快书面形式通知另一方，并在事故发生后15天内，将有关部门出具的证明文件送达另一方。</w:t>
      </w:r>
    </w:p>
    <w:p w14:paraId="354F5404">
      <w:pPr>
        <w:snapToGrid w:val="0"/>
        <w:spacing w:line="360" w:lineRule="auto"/>
        <w:ind w:firstLine="480" w:firstLineChars="200"/>
        <w:rPr>
          <w:rFonts w:ascii="宋体" w:hAnsi="宋体" w:cs="宋体"/>
          <w:sz w:val="24"/>
          <w:szCs w:val="24"/>
        </w:rPr>
      </w:pPr>
      <w:r>
        <w:rPr>
          <w:rFonts w:hint="eastAsia" w:ascii="宋体" w:hAnsi="宋体" w:cs="宋体"/>
          <w:sz w:val="24"/>
          <w:szCs w:val="24"/>
        </w:rPr>
        <w:t>16.3 不可抗力使合同的某些内容有变更必要的，双方应通过协商在7日内达成进一步履行合同的协议，因不可抗力致使合同不能履行的，合同终止。</w:t>
      </w:r>
    </w:p>
    <w:p w14:paraId="0C2C9687">
      <w:pPr>
        <w:pStyle w:val="3"/>
        <w:widowControl/>
        <w:snapToGrid w:val="0"/>
        <w:spacing w:before="0" w:after="0" w:line="360" w:lineRule="auto"/>
        <w:ind w:firstLine="482" w:firstLineChars="200"/>
        <w:jc w:val="both"/>
        <w:rPr>
          <w:rFonts w:hint="default" w:hAnsi="宋体" w:cs="宋体"/>
          <w:szCs w:val="24"/>
        </w:rPr>
      </w:pPr>
      <w:bookmarkStart w:id="51" w:name="_Toc366495208"/>
      <w:r>
        <w:rPr>
          <w:rFonts w:hAnsi="宋体" w:cs="宋体"/>
          <w:szCs w:val="24"/>
          <w:u w:val="none"/>
        </w:rPr>
        <w:t>17. 税费</w:t>
      </w:r>
      <w:bookmarkEnd w:id="51"/>
    </w:p>
    <w:p w14:paraId="4720FFE2">
      <w:pPr>
        <w:snapToGrid w:val="0"/>
        <w:spacing w:line="360" w:lineRule="auto"/>
        <w:ind w:firstLine="480" w:firstLineChars="200"/>
        <w:rPr>
          <w:rFonts w:ascii="宋体" w:hAnsi="宋体" w:cs="宋体"/>
          <w:sz w:val="24"/>
          <w:szCs w:val="24"/>
        </w:rPr>
      </w:pPr>
      <w:r>
        <w:rPr>
          <w:rFonts w:hint="eastAsia" w:ascii="宋体" w:hAnsi="宋体" w:cs="宋体"/>
          <w:sz w:val="24"/>
          <w:szCs w:val="24"/>
        </w:rPr>
        <w:t>17.1 与本合同有关的一切税费均适用中华人民共和国法律的相关规定。</w:t>
      </w:r>
    </w:p>
    <w:p w14:paraId="208E528C">
      <w:pPr>
        <w:pStyle w:val="3"/>
        <w:widowControl/>
        <w:snapToGrid w:val="0"/>
        <w:spacing w:before="0" w:after="0" w:line="360" w:lineRule="auto"/>
        <w:ind w:firstLine="482" w:firstLineChars="200"/>
        <w:jc w:val="both"/>
        <w:rPr>
          <w:rFonts w:hint="default" w:hAnsi="宋体" w:cs="宋体"/>
          <w:szCs w:val="24"/>
        </w:rPr>
      </w:pPr>
      <w:bookmarkStart w:id="52" w:name="_Toc366495209"/>
      <w:r>
        <w:rPr>
          <w:rFonts w:hAnsi="宋体" w:cs="宋体"/>
          <w:szCs w:val="24"/>
          <w:u w:val="none"/>
        </w:rPr>
        <w:t>18</w:t>
      </w:r>
      <w:bookmarkStart w:id="53" w:name="_Toc289327702"/>
      <w:bookmarkStart w:id="54" w:name="_Toc330473025"/>
      <w:r>
        <w:rPr>
          <w:rFonts w:hAnsi="宋体" w:cs="宋体"/>
          <w:szCs w:val="24"/>
          <w:u w:val="none"/>
        </w:rPr>
        <w:t>. 合同争议</w:t>
      </w:r>
      <w:bookmarkEnd w:id="53"/>
      <w:bookmarkEnd w:id="54"/>
      <w:r>
        <w:rPr>
          <w:rFonts w:hAnsi="宋体" w:cs="宋体"/>
          <w:szCs w:val="24"/>
          <w:u w:val="none"/>
        </w:rPr>
        <w:t>的解决</w:t>
      </w:r>
      <w:bookmarkEnd w:id="52"/>
    </w:p>
    <w:p w14:paraId="66AD23AB">
      <w:pPr>
        <w:snapToGrid w:val="0"/>
        <w:spacing w:line="360" w:lineRule="auto"/>
        <w:ind w:firstLine="480" w:firstLineChars="200"/>
        <w:rPr>
          <w:rFonts w:ascii="宋体" w:hAnsi="宋体" w:cs="宋体"/>
          <w:sz w:val="24"/>
          <w:szCs w:val="24"/>
        </w:rPr>
      </w:pPr>
      <w:r>
        <w:rPr>
          <w:rFonts w:hint="eastAsia" w:ascii="宋体" w:hAnsi="宋体" w:cs="宋体"/>
          <w:sz w:val="24"/>
          <w:szCs w:val="24"/>
        </w:rPr>
        <w:t>18.1 因合同履行中发生的争议，可通过合同当事人双方友好协商解</w:t>
      </w:r>
      <w:bookmarkStart w:id="55" w:name="_Toc330473026"/>
      <w:bookmarkStart w:id="56" w:name="_Toc289327703"/>
      <w:r>
        <w:rPr>
          <w:rFonts w:hint="eastAsia" w:ascii="宋体" w:hAnsi="宋体" w:cs="宋体"/>
          <w:sz w:val="24"/>
          <w:szCs w:val="24"/>
        </w:rPr>
        <w:t>决。如自协商开始之起15日内得</w:t>
      </w:r>
      <w:bookmarkEnd w:id="55"/>
      <w:bookmarkEnd w:id="56"/>
      <w:r>
        <w:rPr>
          <w:rFonts w:hint="eastAsia" w:ascii="宋体" w:hAnsi="宋体" w:cs="宋体"/>
          <w:sz w:val="24"/>
          <w:szCs w:val="24"/>
        </w:rPr>
        <w:t>不到解决，双方应将争议提交同级政府采购办公室调解。调解不成的，可采取以下第</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种方式：</w:t>
      </w:r>
    </w:p>
    <w:p w14:paraId="10F8B426">
      <w:pPr>
        <w:snapToGrid w:val="0"/>
        <w:spacing w:line="360" w:lineRule="auto"/>
        <w:ind w:firstLine="480" w:firstLineChars="200"/>
        <w:rPr>
          <w:rFonts w:ascii="宋体" w:hAnsi="宋体" w:cs="宋体"/>
          <w:sz w:val="24"/>
          <w:szCs w:val="24"/>
        </w:rPr>
      </w:pPr>
      <w:r>
        <w:rPr>
          <w:rFonts w:hint="eastAsia" w:ascii="宋体" w:hAnsi="宋体" w:cs="宋体"/>
          <w:sz w:val="24"/>
          <w:szCs w:val="24"/>
        </w:rPr>
        <w:t>1、申请北京仲裁委员会进行仲裁</w:t>
      </w:r>
    </w:p>
    <w:p w14:paraId="4BCDE8CA">
      <w:pPr>
        <w:snapToGrid w:val="0"/>
        <w:spacing w:line="360" w:lineRule="auto"/>
        <w:ind w:firstLine="480" w:firstLineChars="200"/>
        <w:rPr>
          <w:rFonts w:ascii="宋体" w:hAnsi="宋体" w:cs="宋体"/>
          <w:sz w:val="24"/>
          <w:szCs w:val="24"/>
        </w:rPr>
      </w:pPr>
      <w:r>
        <w:rPr>
          <w:rFonts w:hint="eastAsia" w:ascii="宋体" w:hAnsi="宋体" w:cs="宋体"/>
          <w:sz w:val="24"/>
          <w:szCs w:val="24"/>
        </w:rPr>
        <w:t>2、向买方所在地有管辖权的人民法院提起诉讼。</w:t>
      </w:r>
    </w:p>
    <w:p w14:paraId="363EF3FB">
      <w:pPr>
        <w:snapToGrid w:val="0"/>
        <w:spacing w:line="360" w:lineRule="auto"/>
        <w:ind w:firstLine="480" w:firstLineChars="200"/>
        <w:rPr>
          <w:rFonts w:ascii="宋体" w:hAnsi="宋体" w:cs="宋体"/>
          <w:sz w:val="24"/>
          <w:szCs w:val="24"/>
        </w:rPr>
      </w:pPr>
      <w:r>
        <w:rPr>
          <w:rFonts w:hint="eastAsia" w:ascii="宋体" w:hAnsi="宋体" w:cs="宋体"/>
          <w:sz w:val="24"/>
          <w:szCs w:val="24"/>
        </w:rPr>
        <w:t>18.2 仲裁裁决为最终裁决，当事人一方在规定时间内不履行仲裁机构裁决的，另一方可以申请人民法院强制执行。</w:t>
      </w:r>
    </w:p>
    <w:p w14:paraId="052B0BB2">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18.3 仲裁费用和诉讼费用除仲裁机构或法院另有裁决外，应由败诉方负担。</w:t>
      </w:r>
    </w:p>
    <w:p w14:paraId="0FC820EC">
      <w:pPr>
        <w:pStyle w:val="3"/>
        <w:widowControl/>
        <w:snapToGrid w:val="0"/>
        <w:spacing w:before="0" w:after="0" w:line="360" w:lineRule="auto"/>
        <w:ind w:firstLine="482" w:firstLineChars="200"/>
        <w:jc w:val="both"/>
        <w:rPr>
          <w:rFonts w:hint="default" w:hAnsi="宋体" w:cs="宋体"/>
          <w:szCs w:val="24"/>
        </w:rPr>
      </w:pPr>
      <w:bookmarkStart w:id="57" w:name="_Toc366495210"/>
      <w:r>
        <w:rPr>
          <w:rFonts w:hAnsi="宋体" w:cs="宋体"/>
          <w:szCs w:val="24"/>
          <w:u w:val="none"/>
        </w:rPr>
        <w:t>19. 违约解除合同</w:t>
      </w:r>
      <w:bookmarkEnd w:id="57"/>
    </w:p>
    <w:p w14:paraId="302BB9E8">
      <w:pPr>
        <w:snapToGrid w:val="0"/>
        <w:spacing w:line="360" w:lineRule="auto"/>
        <w:ind w:firstLine="480" w:firstLineChars="200"/>
        <w:rPr>
          <w:rFonts w:ascii="宋体" w:hAnsi="宋体" w:cs="宋体"/>
          <w:sz w:val="24"/>
          <w:szCs w:val="24"/>
        </w:rPr>
      </w:pPr>
      <w:r>
        <w:rPr>
          <w:rFonts w:hint="eastAsia" w:ascii="宋体" w:hAnsi="宋体" w:cs="宋体"/>
          <w:sz w:val="24"/>
          <w:szCs w:val="24"/>
        </w:rPr>
        <w:t>19.1 在卖方违约的情况下，买方经同级政府采购监督管理机关审批后</w:t>
      </w:r>
      <w:bookmarkStart w:id="58" w:name="_Toc330473027"/>
      <w:bookmarkStart w:id="59" w:name="_Toc289327704"/>
      <w:r>
        <w:rPr>
          <w:rFonts w:hint="eastAsia" w:ascii="宋体" w:hAnsi="宋体" w:cs="宋体"/>
          <w:sz w:val="24"/>
          <w:szCs w:val="24"/>
        </w:rPr>
        <w:t>，可向卖方发出书面通知，部分</w:t>
      </w:r>
      <w:bookmarkEnd w:id="58"/>
      <w:bookmarkEnd w:id="59"/>
      <w:r>
        <w:rPr>
          <w:rFonts w:hint="eastAsia" w:ascii="宋体" w:hAnsi="宋体" w:cs="宋体"/>
          <w:sz w:val="24"/>
          <w:szCs w:val="24"/>
        </w:rPr>
        <w:t>或全部解除合同。同时保留向卖方追诉的权利。</w:t>
      </w:r>
    </w:p>
    <w:p w14:paraId="6C855B05">
      <w:pPr>
        <w:snapToGrid w:val="0"/>
        <w:spacing w:line="360" w:lineRule="auto"/>
        <w:ind w:firstLine="480" w:firstLineChars="200"/>
        <w:rPr>
          <w:rFonts w:ascii="宋体" w:hAnsi="宋体" w:cs="宋体"/>
          <w:sz w:val="24"/>
          <w:szCs w:val="24"/>
        </w:rPr>
      </w:pPr>
      <w:r>
        <w:rPr>
          <w:rFonts w:hint="eastAsia" w:ascii="宋体" w:hAnsi="宋体" w:cs="宋体"/>
          <w:sz w:val="24"/>
          <w:szCs w:val="24"/>
        </w:rPr>
        <w:t>19.1.1 卖方未能在合同规定的限期或买方同意延长的限期内，提供全部或部分货物的；</w:t>
      </w:r>
    </w:p>
    <w:p w14:paraId="08D2CB67">
      <w:pPr>
        <w:snapToGrid w:val="0"/>
        <w:spacing w:line="360" w:lineRule="auto"/>
        <w:ind w:firstLine="480" w:firstLineChars="200"/>
        <w:rPr>
          <w:rFonts w:ascii="宋体" w:hAnsi="宋体" w:cs="宋体"/>
          <w:sz w:val="24"/>
          <w:szCs w:val="24"/>
        </w:rPr>
      </w:pPr>
      <w:r>
        <w:rPr>
          <w:rFonts w:hint="eastAsia" w:ascii="宋体" w:hAnsi="宋体" w:cs="宋体"/>
          <w:sz w:val="24"/>
          <w:szCs w:val="24"/>
        </w:rPr>
        <w:t>19.1.2 卖方未能履行合同规定的其它主要义务的；</w:t>
      </w:r>
    </w:p>
    <w:p w14:paraId="1B202D53">
      <w:pPr>
        <w:snapToGrid w:val="0"/>
        <w:spacing w:line="360" w:lineRule="auto"/>
        <w:ind w:firstLine="480" w:firstLineChars="200"/>
        <w:rPr>
          <w:rFonts w:ascii="宋体" w:hAnsi="宋体" w:cs="宋体"/>
          <w:sz w:val="24"/>
          <w:szCs w:val="24"/>
        </w:rPr>
      </w:pPr>
      <w:r>
        <w:rPr>
          <w:rFonts w:hint="eastAsia" w:ascii="宋体" w:hAnsi="宋体" w:cs="宋体"/>
          <w:sz w:val="24"/>
          <w:szCs w:val="24"/>
        </w:rPr>
        <w:t>19.1.3 买方认为卖方在本合同履行过程中有腐败和欺诈行为的。</w:t>
      </w:r>
    </w:p>
    <w:p w14:paraId="3E74417C">
      <w:pPr>
        <w:snapToGrid w:val="0"/>
        <w:spacing w:line="360" w:lineRule="auto"/>
        <w:ind w:firstLine="480" w:firstLineChars="200"/>
        <w:rPr>
          <w:rFonts w:ascii="宋体" w:hAnsi="宋体" w:cs="宋体"/>
          <w:sz w:val="24"/>
          <w:szCs w:val="24"/>
        </w:rPr>
      </w:pPr>
      <w:r>
        <w:rPr>
          <w:rFonts w:hint="eastAsia" w:ascii="宋体" w:hAnsi="宋体" w:cs="宋体"/>
          <w:sz w:val="24"/>
          <w:szCs w:val="24"/>
        </w:rPr>
        <w:t>19.1.3.1 “腐败行为”和“欺诈行为”定义如下：</w:t>
      </w:r>
    </w:p>
    <w:p w14:paraId="0A56F664">
      <w:pPr>
        <w:snapToGrid w:val="0"/>
        <w:spacing w:line="360" w:lineRule="auto"/>
        <w:ind w:firstLine="480" w:firstLineChars="200"/>
        <w:rPr>
          <w:rFonts w:ascii="宋体" w:hAnsi="宋体" w:cs="宋体"/>
          <w:sz w:val="24"/>
          <w:szCs w:val="24"/>
        </w:rPr>
      </w:pPr>
      <w:r>
        <w:rPr>
          <w:rFonts w:hint="eastAsia" w:ascii="宋体" w:hAnsi="宋体" w:cs="宋体"/>
          <w:sz w:val="24"/>
          <w:szCs w:val="24"/>
        </w:rPr>
        <w:t>19.1.3.1.1 “腐败行为”是指提供/给予/接受或索取任何有价值的东西来影响买方在合同签定、履行过程中的行为。</w:t>
      </w:r>
    </w:p>
    <w:p w14:paraId="31572DB5">
      <w:pPr>
        <w:snapToGrid w:val="0"/>
        <w:spacing w:line="360" w:lineRule="auto"/>
        <w:ind w:firstLine="480" w:firstLineChars="200"/>
        <w:rPr>
          <w:rFonts w:ascii="宋体" w:hAnsi="宋体" w:cs="宋体"/>
          <w:sz w:val="24"/>
          <w:szCs w:val="24"/>
        </w:rPr>
      </w:pPr>
      <w:r>
        <w:rPr>
          <w:rFonts w:hint="eastAsia" w:ascii="宋体" w:hAnsi="宋体" w:cs="宋体"/>
          <w:sz w:val="24"/>
          <w:szCs w:val="24"/>
        </w:rPr>
        <w:t>19.1.3.1.2 “欺诈行为”是指为了影响合同签定、履行过程，以谎报事实的方法，损害买方的利益的行为。</w:t>
      </w:r>
    </w:p>
    <w:p w14:paraId="26EFB620">
      <w:pPr>
        <w:snapToGrid w:val="0"/>
        <w:spacing w:line="360" w:lineRule="auto"/>
        <w:ind w:firstLine="480" w:firstLineChars="200"/>
        <w:rPr>
          <w:rFonts w:ascii="宋体" w:hAnsi="宋体" w:cs="宋体"/>
          <w:sz w:val="24"/>
          <w:szCs w:val="24"/>
        </w:rPr>
      </w:pPr>
      <w:r>
        <w:rPr>
          <w:rFonts w:hint="eastAsia" w:ascii="宋体" w:hAnsi="宋体" w:cs="宋体"/>
          <w:sz w:val="24"/>
          <w:szCs w:val="24"/>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3753CF57">
      <w:pPr>
        <w:pStyle w:val="3"/>
        <w:widowControl/>
        <w:snapToGrid w:val="0"/>
        <w:spacing w:before="0" w:after="0" w:line="360" w:lineRule="auto"/>
        <w:ind w:firstLine="482" w:firstLineChars="200"/>
        <w:jc w:val="both"/>
        <w:rPr>
          <w:rFonts w:hint="default" w:hAnsi="宋体" w:cs="宋体"/>
          <w:szCs w:val="24"/>
        </w:rPr>
      </w:pPr>
      <w:bookmarkStart w:id="60" w:name="_Toc366495211"/>
      <w:r>
        <w:rPr>
          <w:rFonts w:hAnsi="宋体" w:cs="宋体"/>
          <w:szCs w:val="24"/>
          <w:u w:val="none"/>
        </w:rPr>
        <w:t>20. 破产终止合同</w:t>
      </w:r>
      <w:bookmarkEnd w:id="60"/>
    </w:p>
    <w:p w14:paraId="0D026FBD">
      <w:pPr>
        <w:snapToGrid w:val="0"/>
        <w:spacing w:line="360" w:lineRule="auto"/>
        <w:ind w:firstLine="480" w:firstLineChars="200"/>
        <w:rPr>
          <w:rFonts w:ascii="宋体" w:hAnsi="宋体" w:cs="宋体"/>
          <w:sz w:val="24"/>
          <w:szCs w:val="24"/>
        </w:rPr>
      </w:pPr>
      <w:r>
        <w:rPr>
          <w:rFonts w:hint="eastAsia" w:ascii="宋体" w:hAnsi="宋体" w:cs="宋体"/>
          <w:sz w:val="24"/>
          <w:szCs w:val="24"/>
        </w:rPr>
        <w:t>20.1 如果卖方破产或无清偿能力时，买方经报同级政府采购监督管理</w:t>
      </w:r>
      <w:bookmarkStart w:id="61" w:name="_Toc330473028"/>
      <w:bookmarkStart w:id="62" w:name="_Toc289327705"/>
      <w:r>
        <w:rPr>
          <w:rFonts w:hint="eastAsia" w:ascii="宋体" w:hAnsi="宋体" w:cs="宋体"/>
          <w:sz w:val="24"/>
          <w:szCs w:val="24"/>
        </w:rPr>
        <w:t>部门审批后，可在任何时候以书</w:t>
      </w:r>
      <w:bookmarkEnd w:id="61"/>
      <w:bookmarkEnd w:id="62"/>
      <w:r>
        <w:rPr>
          <w:rFonts w:hint="eastAsia" w:ascii="宋体" w:hAnsi="宋体" w:cs="宋体"/>
          <w:sz w:val="24"/>
          <w:szCs w:val="24"/>
        </w:rPr>
        <w:t>面通知卖方，提出终止合同而不给卖方补偿。该合同的终止将不损害或不影响买方已经采取或将要采取任何行动或补救措施的权利。</w:t>
      </w:r>
    </w:p>
    <w:p w14:paraId="08B97ED6">
      <w:pPr>
        <w:pStyle w:val="3"/>
        <w:widowControl/>
        <w:snapToGrid w:val="0"/>
        <w:spacing w:before="0" w:after="0" w:line="360" w:lineRule="auto"/>
        <w:ind w:firstLine="482" w:firstLineChars="200"/>
        <w:jc w:val="both"/>
        <w:rPr>
          <w:rFonts w:hint="default" w:hAnsi="宋体" w:cs="宋体"/>
          <w:szCs w:val="24"/>
          <w:u w:val="none"/>
        </w:rPr>
      </w:pPr>
      <w:bookmarkStart w:id="63" w:name="_Toc366495212"/>
      <w:r>
        <w:rPr>
          <w:rFonts w:hAnsi="宋体" w:cs="宋体"/>
          <w:szCs w:val="24"/>
          <w:u w:val="none"/>
        </w:rPr>
        <w:t>21. 转让和分包</w:t>
      </w:r>
      <w:bookmarkEnd w:id="63"/>
    </w:p>
    <w:p w14:paraId="795FA42C">
      <w:pPr>
        <w:snapToGrid w:val="0"/>
        <w:spacing w:line="360" w:lineRule="auto"/>
        <w:ind w:firstLine="480" w:firstLineChars="200"/>
        <w:rPr>
          <w:rFonts w:ascii="宋体" w:hAnsi="宋体" w:cs="宋体"/>
          <w:sz w:val="24"/>
          <w:szCs w:val="24"/>
        </w:rPr>
      </w:pPr>
      <w:r>
        <w:rPr>
          <w:rFonts w:hint="eastAsia" w:ascii="宋体" w:hAnsi="宋体" w:cs="宋体"/>
          <w:sz w:val="24"/>
          <w:szCs w:val="24"/>
        </w:rPr>
        <w:t>21.1 政府采购合同不能转让。</w:t>
      </w:r>
    </w:p>
    <w:p w14:paraId="103F6636">
      <w:pPr>
        <w:snapToGrid w:val="0"/>
        <w:spacing w:line="360" w:lineRule="auto"/>
        <w:ind w:firstLine="480" w:firstLineChars="200"/>
        <w:rPr>
          <w:rFonts w:ascii="宋体" w:hAnsi="宋体" w:cs="宋体"/>
          <w:sz w:val="24"/>
          <w:szCs w:val="24"/>
        </w:rPr>
      </w:pPr>
      <w:r>
        <w:rPr>
          <w:rFonts w:hint="eastAsia" w:ascii="宋体" w:hAnsi="宋体" w:cs="宋体"/>
          <w:sz w:val="24"/>
          <w:szCs w:val="24"/>
        </w:rPr>
        <w:t>21.2 经买方和同级政府采购监督管理部</w:t>
      </w:r>
      <w:bookmarkStart w:id="64" w:name="_Toc330473029"/>
      <w:bookmarkStart w:id="65" w:name="_Toc289327706"/>
      <w:r>
        <w:rPr>
          <w:rFonts w:hint="eastAsia" w:ascii="宋体" w:hAnsi="宋体" w:cs="宋体"/>
          <w:sz w:val="24"/>
          <w:szCs w:val="24"/>
        </w:rPr>
        <w:t>门事先书面同意卖方可以将</w:t>
      </w:r>
      <w:bookmarkEnd w:id="64"/>
      <w:bookmarkEnd w:id="65"/>
      <w:r>
        <w:rPr>
          <w:rFonts w:hint="eastAsia" w:ascii="宋体" w:hAnsi="宋体" w:cs="宋体"/>
          <w:sz w:val="24"/>
          <w:szCs w:val="24"/>
        </w:rPr>
        <w:t>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5E21D639">
      <w:pPr>
        <w:pStyle w:val="3"/>
        <w:widowControl/>
        <w:snapToGrid w:val="0"/>
        <w:spacing w:before="0" w:after="0" w:line="360" w:lineRule="auto"/>
        <w:ind w:firstLine="482" w:firstLineChars="200"/>
        <w:jc w:val="both"/>
        <w:rPr>
          <w:rFonts w:hint="default" w:hAnsi="宋体" w:cs="宋体"/>
          <w:szCs w:val="24"/>
        </w:rPr>
      </w:pPr>
      <w:bookmarkStart w:id="66" w:name="_Toc366495213"/>
      <w:r>
        <w:rPr>
          <w:rFonts w:hAnsi="宋体" w:cs="宋体"/>
          <w:szCs w:val="24"/>
          <w:u w:val="none"/>
        </w:rPr>
        <w:t xml:space="preserve">22. </w:t>
      </w:r>
      <w:r>
        <w:rPr>
          <w:rFonts w:hAnsi="宋体" w:cs="宋体"/>
          <w:szCs w:val="24"/>
          <w:u w:val="none" w:color="FF0000"/>
        </w:rPr>
        <w:t>合同修改</w:t>
      </w:r>
      <w:bookmarkEnd w:id="66"/>
    </w:p>
    <w:p w14:paraId="4C4015CA">
      <w:pPr>
        <w:snapToGrid w:val="0"/>
        <w:spacing w:line="360" w:lineRule="auto"/>
        <w:ind w:firstLine="480" w:firstLineChars="200"/>
        <w:rPr>
          <w:rFonts w:ascii="宋体" w:hAnsi="宋体" w:cs="宋体"/>
          <w:sz w:val="24"/>
          <w:szCs w:val="24"/>
        </w:rPr>
      </w:pPr>
      <w:r>
        <w:rPr>
          <w:rFonts w:hint="eastAsia" w:ascii="宋体" w:hAnsi="宋体" w:cs="宋体"/>
          <w:sz w:val="24"/>
          <w:szCs w:val="24"/>
        </w:rPr>
        <w:t>22.1 买方和卖方都不得擅自变更本合同，但合同继续履行将损害国家和社</w:t>
      </w:r>
      <w:bookmarkStart w:id="67" w:name="_Toc330473030"/>
      <w:bookmarkStart w:id="68" w:name="_Toc289327707"/>
      <w:r>
        <w:rPr>
          <w:rFonts w:hint="eastAsia" w:ascii="宋体" w:hAnsi="宋体" w:cs="宋体"/>
          <w:sz w:val="24"/>
          <w:szCs w:val="24"/>
        </w:rPr>
        <w:t>会公共利益的除外。如必须</w:t>
      </w:r>
      <w:bookmarkEnd w:id="67"/>
      <w:bookmarkEnd w:id="68"/>
      <w:r>
        <w:rPr>
          <w:rFonts w:hint="eastAsia" w:ascii="宋体" w:hAnsi="宋体" w:cs="宋体"/>
          <w:sz w:val="24"/>
          <w:szCs w:val="24"/>
        </w:rPr>
        <w:t>对合同条款进行改动时，当事人双方须共同签署书面文件，作为合同的补充，并报同级政府采购监督管理部门备案。</w:t>
      </w:r>
    </w:p>
    <w:p w14:paraId="7917D1A2">
      <w:pPr>
        <w:pStyle w:val="3"/>
        <w:widowControl/>
        <w:snapToGrid w:val="0"/>
        <w:spacing w:before="0" w:after="0" w:line="360" w:lineRule="auto"/>
        <w:ind w:firstLine="482" w:firstLineChars="200"/>
        <w:jc w:val="both"/>
        <w:rPr>
          <w:rFonts w:hint="default" w:hAnsi="宋体" w:cs="宋体"/>
          <w:szCs w:val="24"/>
        </w:rPr>
      </w:pPr>
      <w:bookmarkStart w:id="69" w:name="_Toc366495214"/>
      <w:r>
        <w:rPr>
          <w:rFonts w:hAnsi="宋体" w:cs="宋体"/>
          <w:szCs w:val="24"/>
          <w:u w:val="none"/>
        </w:rPr>
        <w:t>23. 通知</w:t>
      </w:r>
      <w:bookmarkEnd w:id="69"/>
    </w:p>
    <w:p w14:paraId="6E471E76">
      <w:pPr>
        <w:snapToGrid w:val="0"/>
        <w:spacing w:line="360" w:lineRule="auto"/>
        <w:ind w:firstLine="480" w:firstLineChars="200"/>
        <w:rPr>
          <w:rFonts w:ascii="宋体" w:hAnsi="宋体" w:cs="宋体"/>
          <w:sz w:val="24"/>
          <w:szCs w:val="24"/>
        </w:rPr>
      </w:pPr>
      <w:r>
        <w:rPr>
          <w:rFonts w:hint="eastAsia" w:ascii="宋体" w:hAnsi="宋体" w:cs="宋体"/>
          <w:sz w:val="24"/>
          <w:szCs w:val="24"/>
        </w:rPr>
        <w:t>23.1 本合同任何一方给另一方的通知，都应以书面形式发送，而另一方也应以</w:t>
      </w:r>
      <w:bookmarkStart w:id="70" w:name="_Toc330473031"/>
      <w:bookmarkStart w:id="71" w:name="_Toc289327708"/>
      <w:r>
        <w:rPr>
          <w:rFonts w:hint="eastAsia" w:ascii="宋体" w:hAnsi="宋体" w:cs="宋体"/>
          <w:sz w:val="24"/>
          <w:szCs w:val="24"/>
        </w:rPr>
        <w:t>书面形式确认并发送到</w:t>
      </w:r>
      <w:bookmarkEnd w:id="70"/>
      <w:bookmarkEnd w:id="71"/>
      <w:r>
        <w:rPr>
          <w:rFonts w:hint="eastAsia" w:ascii="宋体" w:hAnsi="宋体" w:cs="宋体"/>
          <w:sz w:val="24"/>
          <w:szCs w:val="24"/>
        </w:rPr>
        <w:t>对方明确的地址。</w:t>
      </w:r>
    </w:p>
    <w:p w14:paraId="18E980A8">
      <w:pPr>
        <w:pStyle w:val="3"/>
        <w:widowControl/>
        <w:snapToGrid w:val="0"/>
        <w:spacing w:before="0" w:after="0" w:line="360" w:lineRule="auto"/>
        <w:ind w:firstLine="482" w:firstLineChars="200"/>
        <w:jc w:val="both"/>
        <w:rPr>
          <w:rFonts w:hint="default" w:hAnsi="宋体" w:cs="宋体"/>
          <w:szCs w:val="24"/>
        </w:rPr>
      </w:pPr>
      <w:bookmarkStart w:id="72" w:name="_Toc366495215"/>
      <w:r>
        <w:rPr>
          <w:rFonts w:hAnsi="宋体" w:cs="宋体"/>
          <w:szCs w:val="24"/>
          <w:u w:val="none"/>
        </w:rPr>
        <w:t>24. 计量单位</w:t>
      </w:r>
      <w:bookmarkEnd w:id="72"/>
    </w:p>
    <w:p w14:paraId="504B0680">
      <w:pPr>
        <w:snapToGrid w:val="0"/>
        <w:spacing w:line="360" w:lineRule="auto"/>
        <w:ind w:firstLine="480" w:firstLineChars="200"/>
        <w:rPr>
          <w:rFonts w:ascii="宋体" w:hAnsi="宋体" w:cs="宋体"/>
          <w:sz w:val="24"/>
          <w:szCs w:val="24"/>
        </w:rPr>
      </w:pPr>
      <w:r>
        <w:rPr>
          <w:rFonts w:hint="eastAsia" w:ascii="宋体" w:hAnsi="宋体" w:cs="宋体"/>
          <w:sz w:val="24"/>
          <w:szCs w:val="24"/>
        </w:rPr>
        <w:t>24.1 除技术规范中另有规定外，计量单位均使用国家法定计量单位。</w:t>
      </w:r>
    </w:p>
    <w:p w14:paraId="1ABF96EC">
      <w:pPr>
        <w:pStyle w:val="3"/>
        <w:widowControl/>
        <w:snapToGrid w:val="0"/>
        <w:spacing w:before="0" w:after="0" w:line="360" w:lineRule="auto"/>
        <w:ind w:firstLine="482" w:firstLineChars="200"/>
        <w:jc w:val="both"/>
        <w:rPr>
          <w:rFonts w:hint="default" w:hAnsi="宋体" w:cs="宋体"/>
          <w:szCs w:val="24"/>
        </w:rPr>
      </w:pPr>
      <w:bookmarkStart w:id="73" w:name="_Toc366495216"/>
      <w:r>
        <w:rPr>
          <w:rFonts w:hAnsi="宋体" w:cs="宋体"/>
          <w:szCs w:val="24"/>
          <w:u w:val="none"/>
        </w:rPr>
        <w:t>2</w:t>
      </w:r>
      <w:bookmarkStart w:id="74" w:name="_Toc330473032"/>
      <w:bookmarkStart w:id="75" w:name="_Toc289327709"/>
      <w:r>
        <w:rPr>
          <w:rFonts w:hAnsi="宋体" w:cs="宋体"/>
          <w:szCs w:val="24"/>
          <w:u w:val="none"/>
        </w:rPr>
        <w:t>5. 适用法律</w:t>
      </w:r>
      <w:bookmarkEnd w:id="73"/>
    </w:p>
    <w:bookmarkEnd w:id="74"/>
    <w:bookmarkEnd w:id="75"/>
    <w:p w14:paraId="4138B80F">
      <w:pPr>
        <w:snapToGrid w:val="0"/>
        <w:spacing w:line="360" w:lineRule="auto"/>
        <w:ind w:firstLine="480" w:firstLineChars="200"/>
        <w:rPr>
          <w:rFonts w:ascii="宋体" w:hAnsi="宋体" w:cs="宋体"/>
          <w:sz w:val="24"/>
          <w:szCs w:val="24"/>
        </w:rPr>
      </w:pPr>
      <w:r>
        <w:rPr>
          <w:rFonts w:hint="eastAsia" w:ascii="宋体" w:hAnsi="宋体" w:cs="宋体"/>
          <w:sz w:val="24"/>
          <w:szCs w:val="24"/>
        </w:rPr>
        <w:t>25.1 本合同应按照中华人民共和国的法律进行解释。</w:t>
      </w:r>
    </w:p>
    <w:p w14:paraId="5E0E02A8">
      <w:pPr>
        <w:pStyle w:val="3"/>
        <w:widowControl/>
        <w:snapToGrid w:val="0"/>
        <w:spacing w:before="0" w:after="0" w:line="360" w:lineRule="auto"/>
        <w:ind w:firstLine="482" w:firstLineChars="200"/>
        <w:jc w:val="both"/>
        <w:rPr>
          <w:rFonts w:hint="default" w:hAnsi="宋体" w:cs="宋体"/>
          <w:szCs w:val="24"/>
        </w:rPr>
      </w:pPr>
      <w:bookmarkStart w:id="76" w:name="_Toc366495217"/>
      <w:r>
        <w:rPr>
          <w:rFonts w:hAnsi="宋体" w:cs="宋体"/>
          <w:szCs w:val="24"/>
          <w:u w:val="none"/>
        </w:rPr>
        <w:t xml:space="preserve">26. </w:t>
      </w:r>
      <w:bookmarkStart w:id="77" w:name="_Toc289327710"/>
      <w:bookmarkStart w:id="78" w:name="_Toc330473033"/>
      <w:r>
        <w:rPr>
          <w:rFonts w:hAnsi="宋体" w:cs="宋体"/>
          <w:szCs w:val="24"/>
          <w:u w:val="none"/>
        </w:rPr>
        <w:t>履约</w:t>
      </w:r>
      <w:bookmarkEnd w:id="76"/>
      <w:r>
        <w:rPr>
          <w:rFonts w:hAnsi="宋体" w:cs="宋体"/>
          <w:szCs w:val="24"/>
          <w:u w:val="none"/>
        </w:rPr>
        <w:t>保证金</w:t>
      </w:r>
    </w:p>
    <w:p w14:paraId="6E367E96">
      <w:pPr>
        <w:snapToGrid w:val="0"/>
        <w:spacing w:line="360" w:lineRule="auto"/>
        <w:ind w:firstLine="480" w:firstLineChars="200"/>
        <w:rPr>
          <w:rFonts w:ascii="宋体" w:hAnsi="宋体" w:cs="宋体"/>
          <w:sz w:val="24"/>
          <w:szCs w:val="24"/>
        </w:rPr>
      </w:pPr>
      <w:r>
        <w:rPr>
          <w:rFonts w:hint="eastAsia" w:ascii="宋体" w:hAnsi="宋体" w:cs="宋体"/>
          <w:sz w:val="24"/>
          <w:szCs w:val="24"/>
        </w:rPr>
        <w:t>26.1</w:t>
      </w:r>
      <w:bookmarkEnd w:id="77"/>
      <w:bookmarkEnd w:id="78"/>
      <w:r>
        <w:rPr>
          <w:rFonts w:hint="eastAsia" w:ascii="宋体" w:hAnsi="宋体" w:cs="宋体"/>
          <w:sz w:val="24"/>
          <w:szCs w:val="24"/>
        </w:rPr>
        <w:t xml:space="preserve"> 卖方应在合同签订后</w:t>
      </w:r>
      <w:r>
        <w:rPr>
          <w:rFonts w:hint="eastAsia" w:ascii="宋体" w:hAnsi="宋体" w:cs="宋体"/>
          <w:sz w:val="24"/>
          <w:szCs w:val="24"/>
          <w:u w:val="single"/>
        </w:rPr>
        <w:t>5</w:t>
      </w:r>
      <w:r>
        <w:rPr>
          <w:rFonts w:hint="eastAsia" w:ascii="宋体" w:hAnsi="宋体" w:cs="宋体"/>
          <w:sz w:val="24"/>
          <w:szCs w:val="24"/>
        </w:rPr>
        <w:t>天内，按约定的方式向买方提交合同总</w:t>
      </w:r>
      <w:bookmarkStart w:id="79" w:name="_Toc289327711"/>
      <w:bookmarkStart w:id="80" w:name="_Toc330473034"/>
      <w:r>
        <w:rPr>
          <w:rFonts w:hint="eastAsia" w:ascii="宋体" w:hAnsi="宋体" w:cs="宋体"/>
          <w:sz w:val="24"/>
          <w:szCs w:val="24"/>
        </w:rPr>
        <w:t>价</w:t>
      </w:r>
      <w:r>
        <w:rPr>
          <w:rFonts w:hint="eastAsia" w:ascii="宋体" w:hAnsi="宋体" w:cs="宋体"/>
          <w:sz w:val="24"/>
          <w:szCs w:val="24"/>
          <w:u w:val="single"/>
        </w:rPr>
        <w:t>5%</w:t>
      </w:r>
      <w:r>
        <w:rPr>
          <w:rFonts w:hint="eastAsia" w:ascii="宋体" w:hAnsi="宋体" w:cs="宋体"/>
          <w:sz w:val="24"/>
          <w:szCs w:val="24"/>
        </w:rPr>
        <w:t>的履约</w:t>
      </w:r>
      <w:bookmarkEnd w:id="79"/>
      <w:r>
        <w:rPr>
          <w:rFonts w:hint="eastAsia" w:ascii="宋体" w:hAnsi="宋体" w:cs="宋体"/>
          <w:sz w:val="24"/>
          <w:szCs w:val="24"/>
        </w:rPr>
        <w:t>保证金。</w:t>
      </w:r>
    </w:p>
    <w:bookmarkEnd w:id="80"/>
    <w:p w14:paraId="713944F9">
      <w:pPr>
        <w:snapToGrid w:val="0"/>
        <w:spacing w:line="360" w:lineRule="auto"/>
        <w:ind w:firstLine="480" w:firstLineChars="200"/>
        <w:rPr>
          <w:rFonts w:ascii="宋体" w:hAnsi="宋体" w:cs="宋体"/>
          <w:sz w:val="24"/>
          <w:szCs w:val="24"/>
        </w:rPr>
      </w:pPr>
      <w:r>
        <w:rPr>
          <w:rFonts w:hint="eastAsia" w:ascii="宋体" w:hAnsi="宋体" w:cs="宋体"/>
          <w:sz w:val="24"/>
          <w:szCs w:val="24"/>
        </w:rPr>
        <w:t>26.2 履约保证金用于补偿买方因卖方不能履行其合同义务而蒙受的损失。</w:t>
      </w:r>
    </w:p>
    <w:p w14:paraId="0D2F1628">
      <w:pPr>
        <w:snapToGrid w:val="0"/>
        <w:spacing w:line="360" w:lineRule="auto"/>
        <w:ind w:firstLine="480" w:firstLineChars="200"/>
        <w:rPr>
          <w:rFonts w:ascii="宋体" w:hAnsi="宋体" w:cs="宋体"/>
          <w:sz w:val="24"/>
          <w:szCs w:val="24"/>
        </w:rPr>
      </w:pPr>
      <w:r>
        <w:rPr>
          <w:rFonts w:hint="eastAsia" w:ascii="宋体" w:hAnsi="宋体" w:cs="宋体"/>
          <w:sz w:val="24"/>
          <w:szCs w:val="24"/>
        </w:rPr>
        <w:t>26.3 履约保证金应使用本合同货币，按下述方式之一提交：</w:t>
      </w:r>
    </w:p>
    <w:p w14:paraId="37D230A9">
      <w:pPr>
        <w:snapToGrid w:val="0"/>
        <w:spacing w:line="360" w:lineRule="auto"/>
        <w:ind w:firstLine="480" w:firstLineChars="200"/>
        <w:rPr>
          <w:rFonts w:ascii="宋体" w:hAnsi="宋体" w:cs="宋体"/>
          <w:sz w:val="24"/>
          <w:szCs w:val="24"/>
        </w:rPr>
      </w:pPr>
      <w:r>
        <w:rPr>
          <w:rFonts w:hint="eastAsia" w:ascii="宋体" w:hAnsi="宋体" w:cs="宋体"/>
          <w:sz w:val="24"/>
          <w:szCs w:val="24"/>
        </w:rPr>
        <w:t>A. 买方可接受的在中华人民共和国注册和营业的银行，按招标文件/谈判文件（如有）提供的格式，或其他买方可接受的格式。</w:t>
      </w:r>
    </w:p>
    <w:p w14:paraId="6052D385">
      <w:pPr>
        <w:snapToGrid w:val="0"/>
        <w:spacing w:line="360" w:lineRule="auto"/>
        <w:ind w:firstLine="480" w:firstLineChars="200"/>
        <w:rPr>
          <w:rFonts w:ascii="宋体" w:hAnsi="宋体" w:cs="宋体"/>
          <w:sz w:val="24"/>
          <w:szCs w:val="24"/>
        </w:rPr>
      </w:pPr>
      <w:r>
        <w:rPr>
          <w:rFonts w:hint="eastAsia" w:ascii="宋体" w:hAnsi="宋体" w:cs="宋体"/>
          <w:sz w:val="24"/>
          <w:szCs w:val="24"/>
        </w:rPr>
        <w:t>B. 支票、汇票或现金。</w:t>
      </w:r>
    </w:p>
    <w:p w14:paraId="151AE4F7">
      <w:pPr>
        <w:snapToGrid w:val="0"/>
        <w:spacing w:line="360" w:lineRule="auto"/>
        <w:ind w:firstLine="480" w:firstLineChars="200"/>
        <w:rPr>
          <w:rFonts w:ascii="宋体" w:hAnsi="宋体" w:cs="宋体"/>
          <w:sz w:val="24"/>
          <w:szCs w:val="24"/>
        </w:rPr>
      </w:pPr>
      <w:r>
        <w:rPr>
          <w:rFonts w:hint="eastAsia" w:ascii="宋体" w:hAnsi="宋体" w:cs="宋体"/>
          <w:sz w:val="24"/>
          <w:szCs w:val="24"/>
        </w:rPr>
        <w:t>26.4 如果卖方未能按合同规定履行其义务，买方有权从履约保证金中取得补偿。质量保证期结束后三十（30）天内，买方将把履约保证金退还卖方。</w:t>
      </w:r>
    </w:p>
    <w:p w14:paraId="429B9EC4">
      <w:pPr>
        <w:pStyle w:val="3"/>
        <w:widowControl/>
        <w:numPr>
          <w:ilvl w:val="0"/>
          <w:numId w:val="3"/>
        </w:numPr>
        <w:snapToGrid w:val="0"/>
        <w:spacing w:before="0" w:after="0" w:line="360" w:lineRule="auto"/>
        <w:ind w:firstLine="482" w:firstLineChars="200"/>
        <w:jc w:val="both"/>
        <w:rPr>
          <w:rFonts w:hint="default" w:hAnsi="宋体" w:cs="宋体"/>
          <w:szCs w:val="24"/>
        </w:rPr>
      </w:pPr>
      <w:bookmarkStart w:id="81" w:name="_Toc366495218"/>
      <w:r>
        <w:rPr>
          <w:rFonts w:hAnsi="宋体" w:cs="宋体"/>
          <w:szCs w:val="24"/>
          <w:u w:val="none"/>
        </w:rPr>
        <w:t>合同生效和其它</w:t>
      </w:r>
      <w:bookmarkEnd w:id="81"/>
    </w:p>
    <w:p w14:paraId="660BCBAB">
      <w:pPr>
        <w:snapToGrid w:val="0"/>
        <w:spacing w:line="360" w:lineRule="auto"/>
        <w:ind w:firstLine="480" w:firstLineChars="200"/>
        <w:rPr>
          <w:rFonts w:ascii="宋体" w:hAnsi="宋体" w:cs="宋体"/>
          <w:sz w:val="24"/>
          <w:szCs w:val="24"/>
        </w:rPr>
      </w:pPr>
      <w:r>
        <w:rPr>
          <w:rFonts w:hint="eastAsia" w:ascii="宋体" w:hAnsi="宋体" w:cs="宋体"/>
          <w:sz w:val="24"/>
          <w:szCs w:val="24"/>
        </w:rPr>
        <w:t>27.1 政府采购项目的采购合同内容的确定应以招标文件和投标文件/谈判文件和报价文件（若有）为</w:t>
      </w:r>
      <w:bookmarkStart w:id="82" w:name="_Toc289327712"/>
      <w:bookmarkStart w:id="83" w:name="_Toc330473035"/>
      <w:r>
        <w:rPr>
          <w:rFonts w:hint="eastAsia" w:ascii="宋体" w:hAnsi="宋体" w:cs="宋体"/>
          <w:sz w:val="24"/>
          <w:szCs w:val="24"/>
        </w:rPr>
        <w:t>基础，不得违背其实质性内容。</w:t>
      </w:r>
      <w:bookmarkEnd w:id="82"/>
      <w:bookmarkEnd w:id="83"/>
      <w:r>
        <w:rPr>
          <w:rFonts w:hint="eastAsia" w:ascii="宋体" w:hAnsi="宋体" w:cs="宋体"/>
          <w:sz w:val="24"/>
          <w:szCs w:val="24"/>
        </w:rPr>
        <w:t>政府采购项目的采购合同自签订之日起七个工作日内，买方应当将合同副本报同级政府采购监督管理部门和有关部门备案。合同将在双方签字及盖章并由卖方提供履约保证金后生效。</w:t>
      </w:r>
    </w:p>
    <w:p w14:paraId="63CD4D84">
      <w:pPr>
        <w:spacing w:line="360" w:lineRule="auto"/>
        <w:ind w:firstLine="480" w:firstLineChars="200"/>
        <w:rPr>
          <w:rFonts w:ascii="宋体" w:hAnsi="宋体" w:cs="宋体"/>
          <w:sz w:val="24"/>
          <w:szCs w:val="24"/>
        </w:rPr>
      </w:pPr>
      <w:r>
        <w:rPr>
          <w:rFonts w:hint="eastAsia" w:ascii="宋体" w:hAnsi="宋体" w:cs="宋体"/>
          <w:sz w:val="24"/>
          <w:szCs w:val="24"/>
        </w:rPr>
        <w:t>27.2 本合同一式伍份，具同等法律效力，买方执叁份，卖方执贰份。</w:t>
      </w:r>
    </w:p>
    <w:p w14:paraId="24A348E3">
      <w:pPr>
        <w:pStyle w:val="2"/>
        <w:widowControl/>
        <w:spacing w:before="0" w:line="360" w:lineRule="auto"/>
        <w:ind w:firstLine="482" w:firstLineChars="200"/>
        <w:rPr>
          <w:rFonts w:ascii="宋体" w:hAnsi="宋体" w:eastAsia="宋体" w:cs="宋体"/>
          <w:sz w:val="32"/>
          <w:szCs w:val="32"/>
        </w:rPr>
      </w:pPr>
      <w:r>
        <w:rPr>
          <w:rFonts w:hint="eastAsia" w:ascii="宋体" w:hAnsi="宋体" w:eastAsia="宋体" w:cs="宋体"/>
          <w:sz w:val="24"/>
          <w:szCs w:val="24"/>
        </w:rPr>
        <w:br w:type="page"/>
      </w:r>
      <w:r>
        <w:rPr>
          <w:rFonts w:hint="eastAsia" w:ascii="宋体" w:hAnsi="宋体" w:eastAsia="宋体" w:cs="宋体"/>
          <w:sz w:val="32"/>
          <w:szCs w:val="32"/>
        </w:rPr>
        <w:t>合同特殊条款</w:t>
      </w:r>
    </w:p>
    <w:p w14:paraId="222E418F">
      <w:pPr>
        <w:pStyle w:val="2"/>
        <w:widowControl/>
        <w:spacing w:before="0" w:line="360" w:lineRule="auto"/>
        <w:ind w:firstLine="482" w:firstLineChars="200"/>
        <w:rPr>
          <w:rFonts w:ascii="宋体" w:hAnsi="宋体" w:eastAsia="宋体" w:cs="宋体"/>
          <w:sz w:val="24"/>
          <w:szCs w:val="24"/>
        </w:rPr>
      </w:pPr>
    </w:p>
    <w:p w14:paraId="12F99BA1">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合同特殊条款是合同一般条款的补充和修改。如果两者之间有抵触，应以特殊条款为准。合同特殊条款的序号将与合同一般条款序号相对应。</w:t>
      </w:r>
    </w:p>
    <w:p w14:paraId="7F3E81F0">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1.定义</w:t>
      </w:r>
    </w:p>
    <w:p w14:paraId="149F0F63">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1.4 买方：本合同买方系指：</w:t>
      </w:r>
      <w:r>
        <w:rPr>
          <w:rFonts w:hint="eastAsia" w:ascii="宋体" w:hAnsi="宋体" w:cs="宋体"/>
          <w:color w:val="000000"/>
          <w:szCs w:val="24"/>
          <w:u w:val="single"/>
        </w:rPr>
        <w:t>        </w:t>
      </w:r>
      <w:r>
        <w:rPr>
          <w:rFonts w:hint="eastAsia" w:ascii="宋体" w:hAnsi="宋体" w:cs="宋体"/>
          <w:color w:val="000000"/>
          <w:szCs w:val="24"/>
        </w:rPr>
        <w:t>。</w:t>
      </w:r>
    </w:p>
    <w:p w14:paraId="746F5EA0">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1.5 卖方：本合同卖方系指：</w:t>
      </w:r>
      <w:r>
        <w:rPr>
          <w:rFonts w:hint="eastAsia" w:ascii="宋体" w:hAnsi="宋体" w:cs="宋体"/>
          <w:color w:val="000000"/>
          <w:szCs w:val="24"/>
          <w:u w:val="single"/>
        </w:rPr>
        <w:t>        </w:t>
      </w:r>
      <w:r>
        <w:rPr>
          <w:rFonts w:hint="eastAsia" w:ascii="宋体" w:hAnsi="宋体" w:cs="宋体"/>
          <w:color w:val="000000"/>
          <w:szCs w:val="24"/>
        </w:rPr>
        <w:t xml:space="preserve"> 。</w:t>
      </w:r>
    </w:p>
    <w:p w14:paraId="0CEC82BC">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1.6 现场：本合同项下的货物安装和运行地点为</w:t>
      </w:r>
      <w:r>
        <w:rPr>
          <w:rFonts w:hint="eastAsia" w:ascii="宋体" w:hAnsi="宋体" w:cs="宋体"/>
          <w:color w:val="000000"/>
          <w:szCs w:val="24"/>
          <w:u w:val="single"/>
        </w:rPr>
        <w:t>        </w:t>
      </w:r>
      <w:r>
        <w:rPr>
          <w:rFonts w:hint="eastAsia" w:ascii="宋体" w:hAnsi="宋体" w:cs="宋体"/>
          <w:color w:val="000000"/>
          <w:szCs w:val="24"/>
        </w:rPr>
        <w:t xml:space="preserve"> 。</w:t>
      </w:r>
    </w:p>
    <w:p w14:paraId="5BFBB0E1">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6.交货方式</w:t>
      </w:r>
    </w:p>
    <w:p w14:paraId="5AA69E80">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6.1 本合同项下的货物交货方式为：</w:t>
      </w:r>
      <w:r>
        <w:rPr>
          <w:rFonts w:hint="eastAsia" w:ascii="宋体" w:hAnsi="宋体" w:cs="宋体"/>
          <w:color w:val="000000"/>
          <w:szCs w:val="24"/>
          <w:u w:val="single"/>
        </w:rPr>
        <w:t>        </w:t>
      </w:r>
      <w:r>
        <w:rPr>
          <w:rFonts w:hint="eastAsia" w:ascii="宋体" w:hAnsi="宋体" w:cs="宋体"/>
          <w:color w:val="000000"/>
          <w:szCs w:val="24"/>
        </w:rPr>
        <w:t>。</w:t>
      </w:r>
    </w:p>
    <w:p w14:paraId="2345044A">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9.付款条件：</w:t>
      </w:r>
      <w:r>
        <w:rPr>
          <w:rFonts w:hint="eastAsia" w:ascii="宋体" w:hAnsi="宋体" w:cs="宋体"/>
          <w:color w:val="000000"/>
          <w:szCs w:val="24"/>
          <w:u w:val="single"/>
        </w:rPr>
        <w:t>        </w:t>
      </w:r>
      <w:r>
        <w:rPr>
          <w:rFonts w:hint="eastAsia" w:ascii="宋体" w:hAnsi="宋体" w:cs="宋体"/>
          <w:color w:val="000000"/>
          <w:szCs w:val="24"/>
        </w:rPr>
        <w:t>。</w:t>
      </w:r>
    </w:p>
    <w:p w14:paraId="2310345A">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10.技术资料：</w:t>
      </w:r>
      <w:r>
        <w:rPr>
          <w:rFonts w:hint="eastAsia" w:ascii="宋体" w:hAnsi="宋体" w:cs="宋体"/>
          <w:color w:val="000000"/>
          <w:szCs w:val="24"/>
          <w:u w:val="single"/>
        </w:rPr>
        <w:t>        </w:t>
      </w:r>
      <w:r>
        <w:rPr>
          <w:rFonts w:hint="eastAsia" w:ascii="宋体" w:hAnsi="宋体" w:cs="宋体"/>
          <w:color w:val="000000"/>
          <w:szCs w:val="24"/>
        </w:rPr>
        <w:t xml:space="preserve"> 。</w:t>
      </w:r>
    </w:p>
    <w:p w14:paraId="23D9DDB9">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11.质量保证</w:t>
      </w:r>
    </w:p>
    <w:p w14:paraId="377F919A">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11.3 卖方在收到通知后</w:t>
      </w:r>
      <w:r>
        <w:rPr>
          <w:rFonts w:hint="eastAsia" w:ascii="宋体" w:hAnsi="宋体" w:cs="宋体"/>
          <w:color w:val="000000"/>
          <w:szCs w:val="24"/>
          <w:u w:val="single"/>
        </w:rPr>
        <w:t>2</w:t>
      </w:r>
      <w:r>
        <w:rPr>
          <w:rFonts w:hint="eastAsia" w:ascii="宋体" w:hAnsi="宋体" w:cs="宋体"/>
          <w:color w:val="000000"/>
          <w:szCs w:val="24"/>
        </w:rPr>
        <w:t>天内应免费维修或更换有缺陷的货物或部件。</w:t>
      </w:r>
    </w:p>
    <w:p w14:paraId="0C7F83AA">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11.4 如果卖方在收到通知后</w:t>
      </w:r>
      <w:r>
        <w:rPr>
          <w:rFonts w:hint="eastAsia" w:ascii="宋体" w:hAnsi="宋体" w:cs="宋体"/>
          <w:color w:val="000000"/>
          <w:szCs w:val="24"/>
          <w:u w:val="single"/>
        </w:rPr>
        <w:t>2</w:t>
      </w:r>
      <w:r>
        <w:rPr>
          <w:rFonts w:hint="eastAsia" w:ascii="宋体" w:hAnsi="宋体" w:cs="宋体"/>
          <w:color w:val="000000"/>
          <w:szCs w:val="24"/>
        </w:rPr>
        <w:t>天内没有弥补缺陷，买方可采取必要的补救措施，但风险和费用将由卖方承担。</w:t>
      </w:r>
    </w:p>
    <w:p w14:paraId="75307B9D">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11.5 合同项下货物的质量保证期为自货物通过最终验收起</w:t>
      </w:r>
      <w:r>
        <w:rPr>
          <w:rFonts w:hint="eastAsia" w:ascii="宋体" w:hAnsi="宋体" w:cs="宋体"/>
          <w:color w:val="000000"/>
          <w:szCs w:val="24"/>
          <w:u w:val="single"/>
        </w:rPr>
        <w:t>12</w:t>
      </w:r>
      <w:r>
        <w:rPr>
          <w:rFonts w:hint="eastAsia" w:ascii="宋体" w:hAnsi="宋体" w:cs="宋体"/>
          <w:color w:val="000000"/>
          <w:szCs w:val="24"/>
        </w:rPr>
        <w:t>个月（一般不超过12个月）。</w:t>
      </w:r>
    </w:p>
    <w:p w14:paraId="24275B2D">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12.检验和验收</w:t>
      </w:r>
    </w:p>
    <w:p w14:paraId="4D2D487E">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13.索赔</w:t>
      </w:r>
    </w:p>
    <w:p w14:paraId="1894933D">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13.3 索赔通知期限：</w:t>
      </w:r>
      <w:r>
        <w:rPr>
          <w:rFonts w:hint="eastAsia" w:ascii="宋体" w:hAnsi="宋体" w:cs="宋体"/>
          <w:color w:val="000000"/>
          <w:szCs w:val="24"/>
          <w:u w:val="single"/>
        </w:rPr>
        <w:t>    </w:t>
      </w:r>
      <w:r>
        <w:rPr>
          <w:rFonts w:hint="eastAsia" w:ascii="宋体" w:hAnsi="宋体" w:cs="宋体"/>
          <w:color w:val="000000"/>
          <w:szCs w:val="24"/>
        </w:rPr>
        <w:t>天。</w:t>
      </w:r>
    </w:p>
    <w:p w14:paraId="177CB425">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16.不可抗力</w:t>
      </w:r>
    </w:p>
    <w:p w14:paraId="2C941273">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16.2 不可抗力通知送达时间：事故发生后</w:t>
      </w:r>
      <w:r>
        <w:rPr>
          <w:rFonts w:hint="eastAsia" w:ascii="宋体" w:hAnsi="宋体" w:cs="宋体"/>
          <w:color w:val="000000"/>
          <w:szCs w:val="24"/>
          <w:u w:val="single"/>
        </w:rPr>
        <w:t>    </w:t>
      </w:r>
      <w:r>
        <w:rPr>
          <w:rFonts w:hint="eastAsia" w:ascii="宋体" w:hAnsi="宋体" w:cs="宋体"/>
          <w:color w:val="000000"/>
          <w:szCs w:val="24"/>
        </w:rPr>
        <w:t>天内。</w:t>
      </w:r>
    </w:p>
    <w:p w14:paraId="15699B05">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26.提交履约保证金的时间：签订合同后</w:t>
      </w:r>
      <w:r>
        <w:rPr>
          <w:rFonts w:hint="eastAsia" w:ascii="宋体" w:hAnsi="宋体" w:cs="宋体"/>
          <w:color w:val="000000"/>
          <w:szCs w:val="24"/>
          <w:u w:val="single"/>
        </w:rPr>
        <w:t>5</w:t>
      </w:r>
      <w:r>
        <w:rPr>
          <w:rFonts w:hint="eastAsia" w:ascii="宋体" w:hAnsi="宋体" w:cs="宋体"/>
          <w:color w:val="000000"/>
          <w:szCs w:val="24"/>
        </w:rPr>
        <w:t>天。</w:t>
      </w:r>
    </w:p>
    <w:p w14:paraId="45C1C4A4">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履约保证金金额：合同总价的</w:t>
      </w:r>
      <w:r>
        <w:rPr>
          <w:rFonts w:hint="eastAsia" w:ascii="宋体" w:hAnsi="宋体" w:cs="宋体"/>
          <w:color w:val="000000"/>
          <w:szCs w:val="24"/>
          <w:u w:val="single"/>
        </w:rPr>
        <w:t>5%</w:t>
      </w:r>
      <w:r>
        <w:rPr>
          <w:rFonts w:hint="eastAsia" w:ascii="宋体" w:hAnsi="宋体" w:cs="宋体"/>
          <w:color w:val="000000"/>
          <w:szCs w:val="24"/>
        </w:rPr>
        <w:t>。</w:t>
      </w:r>
    </w:p>
    <w:p w14:paraId="7E229A0A">
      <w:pPr>
        <w:rPr>
          <w:rFonts w:ascii="宋体" w:hAnsi="宋体" w:cs="宋体"/>
          <w:sz w:val="24"/>
          <w:szCs w:val="24"/>
        </w:rPr>
      </w:pPr>
    </w:p>
    <w:p w14:paraId="7648E249">
      <w:pPr>
        <w:rPr>
          <w:rFonts w:ascii="宋体" w:hAnsi="宋体" w:cs="宋体"/>
          <w:sz w:val="24"/>
          <w:szCs w:val="24"/>
        </w:rPr>
      </w:pPr>
      <w:r>
        <w:rPr>
          <w:rFonts w:hint="eastAsia" w:ascii="宋体" w:hAnsi="宋体" w:cs="宋体"/>
          <w:sz w:val="24"/>
          <w:szCs w:val="24"/>
        </w:rPr>
        <w:br w:type="page"/>
      </w:r>
    </w:p>
    <w:p w14:paraId="7B9AA528">
      <w:pPr>
        <w:rPr>
          <w:rFonts w:ascii="宋体" w:hAnsi="宋体" w:cs="宋体"/>
          <w:sz w:val="24"/>
          <w:szCs w:val="24"/>
        </w:rPr>
      </w:pPr>
    </w:p>
    <w:p w14:paraId="33446CAE">
      <w:pPr>
        <w:rPr>
          <w:rFonts w:ascii="宋体" w:hAnsi="宋体" w:cs="宋体"/>
          <w:sz w:val="24"/>
          <w:szCs w:val="24"/>
        </w:rPr>
      </w:pPr>
    </w:p>
    <w:p w14:paraId="226027F7">
      <w:pPr>
        <w:jc w:val="center"/>
        <w:rPr>
          <w:rFonts w:ascii="宋体" w:hAnsi="宋体" w:cs="宋体"/>
          <w:b/>
          <w:sz w:val="28"/>
          <w:szCs w:val="28"/>
        </w:rPr>
      </w:pPr>
      <w:r>
        <w:rPr>
          <w:rFonts w:hint="eastAsia" w:ascii="宋体" w:hAnsi="宋体" w:cs="宋体"/>
          <w:b/>
          <w:sz w:val="28"/>
          <w:szCs w:val="28"/>
        </w:rPr>
        <w:t>货物/设备一览表及技术规格</w:t>
      </w:r>
    </w:p>
    <w:tbl>
      <w:tblPr>
        <w:tblStyle w:val="1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633"/>
        <w:gridCol w:w="759"/>
        <w:gridCol w:w="2046"/>
        <w:gridCol w:w="564"/>
        <w:gridCol w:w="427"/>
        <w:gridCol w:w="452"/>
        <w:gridCol w:w="1006"/>
        <w:gridCol w:w="1032"/>
        <w:gridCol w:w="1032"/>
      </w:tblGrid>
      <w:tr w14:paraId="3B70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336" w:type="pct"/>
            <w:tcBorders>
              <w:top w:val="single" w:color="auto" w:sz="4" w:space="0"/>
              <w:left w:val="single" w:color="auto" w:sz="4" w:space="0"/>
              <w:bottom w:val="single" w:color="auto" w:sz="4" w:space="0"/>
              <w:right w:val="single" w:color="auto" w:sz="4" w:space="0"/>
            </w:tcBorders>
            <w:vAlign w:val="center"/>
          </w:tcPr>
          <w:p w14:paraId="1DA9E6AA">
            <w:pPr>
              <w:jc w:val="center"/>
              <w:rPr>
                <w:rFonts w:ascii="宋体" w:hAnsi="宋体" w:cs="宋体"/>
                <w:b/>
                <w:szCs w:val="21"/>
              </w:rPr>
            </w:pPr>
            <w:r>
              <w:rPr>
                <w:rFonts w:hint="eastAsia" w:ascii="宋体" w:hAnsi="宋体" w:cs="宋体"/>
                <w:b/>
                <w:szCs w:val="21"/>
              </w:rPr>
              <w:t>序号</w:t>
            </w:r>
          </w:p>
        </w:tc>
        <w:tc>
          <w:tcPr>
            <w:tcW w:w="378" w:type="pct"/>
            <w:tcBorders>
              <w:top w:val="single" w:color="auto" w:sz="4" w:space="0"/>
              <w:left w:val="single" w:color="auto" w:sz="4" w:space="0"/>
              <w:bottom w:val="single" w:color="auto" w:sz="4" w:space="0"/>
              <w:right w:val="single" w:color="auto" w:sz="4" w:space="0"/>
            </w:tcBorders>
            <w:vAlign w:val="center"/>
          </w:tcPr>
          <w:p w14:paraId="5C3C90CA">
            <w:pPr>
              <w:jc w:val="center"/>
              <w:rPr>
                <w:rFonts w:ascii="宋体" w:hAnsi="宋体" w:cs="宋体"/>
                <w:b/>
                <w:szCs w:val="21"/>
              </w:rPr>
            </w:pPr>
            <w:r>
              <w:rPr>
                <w:rFonts w:hint="eastAsia" w:ascii="宋体" w:hAnsi="宋体" w:cs="宋体"/>
                <w:b/>
                <w:szCs w:val="21"/>
              </w:rPr>
              <w:t>报价内容</w:t>
            </w:r>
          </w:p>
        </w:tc>
        <w:tc>
          <w:tcPr>
            <w:tcW w:w="451" w:type="pct"/>
            <w:tcBorders>
              <w:top w:val="single" w:color="auto" w:sz="4" w:space="0"/>
              <w:left w:val="single" w:color="auto" w:sz="4" w:space="0"/>
              <w:bottom w:val="single" w:color="auto" w:sz="4" w:space="0"/>
              <w:right w:val="single" w:color="auto" w:sz="4" w:space="0"/>
            </w:tcBorders>
            <w:vAlign w:val="center"/>
          </w:tcPr>
          <w:p w14:paraId="218B1D44">
            <w:pPr>
              <w:jc w:val="center"/>
              <w:rPr>
                <w:rFonts w:ascii="宋体" w:hAnsi="宋体" w:cs="宋体"/>
                <w:b/>
                <w:szCs w:val="21"/>
              </w:rPr>
            </w:pPr>
            <w:r>
              <w:rPr>
                <w:rFonts w:hint="eastAsia" w:ascii="宋体" w:hAnsi="宋体" w:cs="宋体"/>
                <w:b/>
                <w:szCs w:val="21"/>
              </w:rPr>
              <w:t>制造商名称</w:t>
            </w:r>
          </w:p>
        </w:tc>
        <w:tc>
          <w:tcPr>
            <w:tcW w:w="1206" w:type="pct"/>
            <w:tcBorders>
              <w:top w:val="single" w:color="auto" w:sz="4" w:space="0"/>
              <w:left w:val="single" w:color="auto" w:sz="4" w:space="0"/>
              <w:bottom w:val="single" w:color="auto" w:sz="4" w:space="0"/>
              <w:right w:val="single" w:color="auto" w:sz="4" w:space="0"/>
            </w:tcBorders>
            <w:vAlign w:val="center"/>
          </w:tcPr>
          <w:p w14:paraId="3927B806">
            <w:pPr>
              <w:jc w:val="center"/>
              <w:rPr>
                <w:rFonts w:ascii="宋体" w:hAnsi="宋体" w:cs="宋体"/>
                <w:b/>
                <w:szCs w:val="21"/>
              </w:rPr>
            </w:pPr>
            <w:r>
              <w:rPr>
                <w:rFonts w:hint="eastAsia" w:ascii="宋体" w:hAnsi="宋体" w:cs="宋体"/>
                <w:b/>
                <w:szCs w:val="21"/>
              </w:rPr>
              <w:t>品牌型号</w:t>
            </w:r>
          </w:p>
        </w:tc>
        <w:tc>
          <w:tcPr>
            <w:tcW w:w="337" w:type="pct"/>
            <w:tcBorders>
              <w:top w:val="single" w:color="auto" w:sz="4" w:space="0"/>
              <w:left w:val="single" w:color="auto" w:sz="4" w:space="0"/>
              <w:bottom w:val="single" w:color="auto" w:sz="4" w:space="0"/>
              <w:right w:val="single" w:color="auto" w:sz="4" w:space="0"/>
            </w:tcBorders>
            <w:vAlign w:val="center"/>
          </w:tcPr>
          <w:p w14:paraId="30F16176">
            <w:pPr>
              <w:jc w:val="center"/>
              <w:rPr>
                <w:rFonts w:ascii="宋体" w:hAnsi="宋体" w:cs="宋体"/>
                <w:b/>
                <w:szCs w:val="21"/>
              </w:rPr>
            </w:pPr>
            <w:r>
              <w:rPr>
                <w:rFonts w:hint="eastAsia" w:ascii="宋体" w:hAnsi="宋体" w:cs="宋体"/>
                <w:b/>
                <w:szCs w:val="21"/>
              </w:rPr>
              <w:t>产地</w:t>
            </w:r>
          </w:p>
        </w:tc>
        <w:tc>
          <w:tcPr>
            <w:tcW w:w="197" w:type="pct"/>
            <w:tcBorders>
              <w:top w:val="single" w:color="auto" w:sz="4" w:space="0"/>
              <w:left w:val="single" w:color="auto" w:sz="4" w:space="0"/>
              <w:bottom w:val="single" w:color="auto" w:sz="4" w:space="0"/>
              <w:right w:val="single" w:color="auto" w:sz="4" w:space="0"/>
            </w:tcBorders>
            <w:vAlign w:val="center"/>
          </w:tcPr>
          <w:p w14:paraId="68248B2F">
            <w:pPr>
              <w:jc w:val="center"/>
              <w:rPr>
                <w:rFonts w:ascii="宋体" w:hAnsi="宋体" w:cs="宋体"/>
                <w:b/>
                <w:szCs w:val="21"/>
              </w:rPr>
            </w:pPr>
            <w:r>
              <w:rPr>
                <w:rFonts w:hint="eastAsia" w:ascii="宋体" w:hAnsi="宋体" w:cs="宋体"/>
                <w:b/>
                <w:szCs w:val="21"/>
              </w:rPr>
              <w:t>单位</w:t>
            </w:r>
          </w:p>
        </w:tc>
        <w:tc>
          <w:tcPr>
            <w:tcW w:w="271" w:type="pct"/>
            <w:tcBorders>
              <w:top w:val="single" w:color="auto" w:sz="4" w:space="0"/>
              <w:left w:val="single" w:color="auto" w:sz="4" w:space="0"/>
              <w:bottom w:val="single" w:color="auto" w:sz="4" w:space="0"/>
              <w:right w:val="single" w:color="auto" w:sz="4" w:space="0"/>
            </w:tcBorders>
            <w:vAlign w:val="center"/>
          </w:tcPr>
          <w:p w14:paraId="0C006113">
            <w:pPr>
              <w:jc w:val="center"/>
              <w:rPr>
                <w:rFonts w:ascii="宋体" w:hAnsi="宋体" w:cs="宋体"/>
                <w:b/>
                <w:szCs w:val="21"/>
              </w:rPr>
            </w:pPr>
            <w:r>
              <w:rPr>
                <w:rFonts w:hint="eastAsia" w:ascii="宋体" w:hAnsi="宋体" w:cs="宋体"/>
                <w:b/>
                <w:szCs w:val="21"/>
              </w:rPr>
              <w:t>数量</w:t>
            </w:r>
          </w:p>
        </w:tc>
        <w:tc>
          <w:tcPr>
            <w:tcW w:w="596" w:type="pct"/>
            <w:tcBorders>
              <w:top w:val="single" w:color="auto" w:sz="4" w:space="0"/>
              <w:left w:val="single" w:color="auto" w:sz="4" w:space="0"/>
              <w:bottom w:val="single" w:color="auto" w:sz="4" w:space="0"/>
              <w:right w:val="single" w:color="auto" w:sz="4" w:space="0"/>
            </w:tcBorders>
            <w:vAlign w:val="center"/>
          </w:tcPr>
          <w:p w14:paraId="63C8651F">
            <w:pPr>
              <w:jc w:val="center"/>
              <w:rPr>
                <w:rFonts w:ascii="宋体" w:hAnsi="宋体" w:cs="宋体"/>
                <w:b/>
                <w:szCs w:val="21"/>
              </w:rPr>
            </w:pPr>
            <w:r>
              <w:rPr>
                <w:rFonts w:hint="eastAsia" w:ascii="宋体" w:hAnsi="宋体" w:cs="宋体"/>
                <w:b/>
                <w:szCs w:val="21"/>
              </w:rPr>
              <w:t>单价</w:t>
            </w:r>
          </w:p>
        </w:tc>
        <w:tc>
          <w:tcPr>
            <w:tcW w:w="611" w:type="pct"/>
            <w:tcBorders>
              <w:top w:val="single" w:color="auto" w:sz="4" w:space="0"/>
              <w:left w:val="single" w:color="auto" w:sz="4" w:space="0"/>
              <w:bottom w:val="single" w:color="auto" w:sz="4" w:space="0"/>
              <w:right w:val="single" w:color="auto" w:sz="4" w:space="0"/>
            </w:tcBorders>
            <w:vAlign w:val="center"/>
          </w:tcPr>
          <w:p w14:paraId="49B92C46">
            <w:pPr>
              <w:jc w:val="center"/>
              <w:rPr>
                <w:rFonts w:ascii="宋体" w:hAnsi="宋体" w:cs="宋体"/>
                <w:b/>
                <w:szCs w:val="21"/>
              </w:rPr>
            </w:pPr>
            <w:r>
              <w:rPr>
                <w:rFonts w:hint="eastAsia" w:ascii="宋体" w:hAnsi="宋体" w:cs="宋体"/>
                <w:b/>
                <w:szCs w:val="21"/>
              </w:rPr>
              <w:t>小计</w:t>
            </w:r>
          </w:p>
        </w:tc>
        <w:tc>
          <w:tcPr>
            <w:tcW w:w="611" w:type="pct"/>
            <w:tcBorders>
              <w:top w:val="single" w:color="auto" w:sz="4" w:space="0"/>
              <w:left w:val="single" w:color="auto" w:sz="4" w:space="0"/>
              <w:bottom w:val="single" w:color="auto" w:sz="4" w:space="0"/>
              <w:right w:val="single" w:color="auto" w:sz="4" w:space="0"/>
            </w:tcBorders>
            <w:vAlign w:val="center"/>
          </w:tcPr>
          <w:p w14:paraId="3389EB1F">
            <w:pPr>
              <w:jc w:val="center"/>
              <w:rPr>
                <w:rFonts w:ascii="宋体" w:hAnsi="宋体" w:cs="宋体"/>
                <w:b/>
                <w:szCs w:val="21"/>
              </w:rPr>
            </w:pPr>
            <w:r>
              <w:rPr>
                <w:rFonts w:hint="eastAsia" w:ascii="宋体" w:hAnsi="宋体" w:cs="宋体"/>
                <w:b/>
                <w:szCs w:val="21"/>
              </w:rPr>
              <w:t>交货时间</w:t>
            </w:r>
          </w:p>
        </w:tc>
      </w:tr>
      <w:tr w14:paraId="65079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36" w:type="pct"/>
            <w:tcBorders>
              <w:top w:val="single" w:color="auto" w:sz="4" w:space="0"/>
              <w:left w:val="single" w:color="auto" w:sz="4" w:space="0"/>
              <w:bottom w:val="single" w:color="auto" w:sz="4" w:space="0"/>
              <w:right w:val="single" w:color="auto" w:sz="4" w:space="0"/>
            </w:tcBorders>
            <w:vAlign w:val="center"/>
          </w:tcPr>
          <w:p w14:paraId="60220B0D">
            <w:pPr>
              <w:jc w:val="center"/>
              <w:rPr>
                <w:rFonts w:ascii="宋体" w:hAnsi="宋体" w:cs="宋体"/>
                <w:szCs w:val="21"/>
              </w:rPr>
            </w:pPr>
            <w:r>
              <w:rPr>
                <w:rFonts w:hint="eastAsia" w:ascii="宋体" w:hAnsi="宋体" w:cs="宋体"/>
                <w:szCs w:val="21"/>
              </w:rPr>
              <w:t>1</w:t>
            </w:r>
          </w:p>
        </w:tc>
        <w:tc>
          <w:tcPr>
            <w:tcW w:w="378" w:type="pct"/>
            <w:tcBorders>
              <w:top w:val="single" w:color="auto" w:sz="4" w:space="0"/>
              <w:left w:val="single" w:color="auto" w:sz="4" w:space="0"/>
              <w:bottom w:val="single" w:color="auto" w:sz="4" w:space="0"/>
              <w:right w:val="single" w:color="auto" w:sz="4" w:space="0"/>
            </w:tcBorders>
            <w:vAlign w:val="center"/>
          </w:tcPr>
          <w:p w14:paraId="54391046">
            <w:pPr>
              <w:jc w:val="center"/>
              <w:rPr>
                <w:rFonts w:ascii="宋体" w:hAnsi="宋体" w:cs="宋体"/>
                <w:szCs w:val="21"/>
              </w:rPr>
            </w:pPr>
          </w:p>
        </w:tc>
        <w:tc>
          <w:tcPr>
            <w:tcW w:w="451" w:type="pct"/>
            <w:tcBorders>
              <w:top w:val="single" w:color="auto" w:sz="4" w:space="0"/>
              <w:left w:val="single" w:color="auto" w:sz="4" w:space="0"/>
              <w:bottom w:val="single" w:color="auto" w:sz="4" w:space="0"/>
              <w:right w:val="single" w:color="auto" w:sz="4" w:space="0"/>
            </w:tcBorders>
            <w:vAlign w:val="center"/>
          </w:tcPr>
          <w:p w14:paraId="4EABDA4E">
            <w:pPr>
              <w:spacing w:line="360" w:lineRule="auto"/>
              <w:jc w:val="center"/>
              <w:rPr>
                <w:rFonts w:ascii="宋体" w:hAnsi="宋体" w:cs="宋体"/>
                <w:szCs w:val="21"/>
              </w:rPr>
            </w:pPr>
          </w:p>
        </w:tc>
        <w:tc>
          <w:tcPr>
            <w:tcW w:w="1206" w:type="pct"/>
            <w:tcBorders>
              <w:top w:val="single" w:color="auto" w:sz="4" w:space="0"/>
              <w:left w:val="single" w:color="auto" w:sz="4" w:space="0"/>
              <w:bottom w:val="single" w:color="auto" w:sz="4" w:space="0"/>
              <w:right w:val="single" w:color="auto" w:sz="4" w:space="0"/>
            </w:tcBorders>
            <w:vAlign w:val="center"/>
          </w:tcPr>
          <w:p w14:paraId="1F579A41">
            <w:pPr>
              <w:widowControl/>
              <w:jc w:val="center"/>
              <w:textAlignment w:val="center"/>
              <w:rPr>
                <w:rFonts w:ascii="宋体" w:hAnsi="宋体" w:cs="宋体"/>
                <w:color w:val="2B2B2B"/>
                <w:kern w:val="0"/>
                <w:szCs w:val="21"/>
              </w:rPr>
            </w:pPr>
          </w:p>
        </w:tc>
        <w:tc>
          <w:tcPr>
            <w:tcW w:w="337" w:type="pct"/>
            <w:tcBorders>
              <w:top w:val="single" w:color="auto" w:sz="4" w:space="0"/>
              <w:left w:val="single" w:color="auto" w:sz="4" w:space="0"/>
              <w:bottom w:val="single" w:color="auto" w:sz="4" w:space="0"/>
              <w:right w:val="single" w:color="auto" w:sz="4" w:space="0"/>
            </w:tcBorders>
            <w:vAlign w:val="center"/>
          </w:tcPr>
          <w:p w14:paraId="5141F31F">
            <w:pPr>
              <w:spacing w:line="360" w:lineRule="auto"/>
              <w:jc w:val="center"/>
              <w:rPr>
                <w:rFonts w:ascii="宋体" w:hAnsi="宋体" w:cs="宋体"/>
                <w:szCs w:val="21"/>
              </w:rPr>
            </w:pPr>
          </w:p>
        </w:tc>
        <w:tc>
          <w:tcPr>
            <w:tcW w:w="197" w:type="pct"/>
            <w:tcBorders>
              <w:top w:val="single" w:color="auto" w:sz="4" w:space="0"/>
              <w:left w:val="single" w:color="auto" w:sz="4" w:space="0"/>
              <w:bottom w:val="single" w:color="auto" w:sz="4" w:space="0"/>
              <w:right w:val="single" w:color="auto" w:sz="4" w:space="0"/>
            </w:tcBorders>
            <w:vAlign w:val="center"/>
          </w:tcPr>
          <w:p w14:paraId="42BB95F5">
            <w:pPr>
              <w:spacing w:line="360" w:lineRule="auto"/>
              <w:jc w:val="center"/>
              <w:rPr>
                <w:rFonts w:ascii="宋体" w:hAnsi="宋体" w:cs="宋体"/>
                <w:szCs w:val="21"/>
              </w:rPr>
            </w:pPr>
          </w:p>
        </w:tc>
        <w:tc>
          <w:tcPr>
            <w:tcW w:w="271" w:type="pct"/>
            <w:tcBorders>
              <w:top w:val="single" w:color="auto" w:sz="4" w:space="0"/>
              <w:left w:val="single" w:color="auto" w:sz="4" w:space="0"/>
              <w:bottom w:val="single" w:color="auto" w:sz="4" w:space="0"/>
              <w:right w:val="single" w:color="auto" w:sz="4" w:space="0"/>
            </w:tcBorders>
            <w:vAlign w:val="center"/>
          </w:tcPr>
          <w:p w14:paraId="2EBDFF43">
            <w:pPr>
              <w:jc w:val="center"/>
              <w:rPr>
                <w:rFonts w:ascii="宋体" w:hAnsi="宋体" w:cs="宋体"/>
                <w:szCs w:val="21"/>
              </w:rPr>
            </w:pPr>
          </w:p>
        </w:tc>
        <w:tc>
          <w:tcPr>
            <w:tcW w:w="596" w:type="pct"/>
            <w:tcBorders>
              <w:top w:val="single" w:color="auto" w:sz="4" w:space="0"/>
              <w:left w:val="single" w:color="auto" w:sz="4" w:space="0"/>
              <w:bottom w:val="single" w:color="auto" w:sz="4" w:space="0"/>
              <w:right w:val="single" w:color="auto" w:sz="4" w:space="0"/>
            </w:tcBorders>
            <w:vAlign w:val="center"/>
          </w:tcPr>
          <w:p w14:paraId="63182F27">
            <w:pPr>
              <w:spacing w:line="360" w:lineRule="auto"/>
              <w:jc w:val="center"/>
              <w:rPr>
                <w:rFonts w:ascii="宋体" w:hAnsi="宋体" w:cs="宋体"/>
                <w:szCs w:val="21"/>
              </w:rPr>
            </w:pPr>
          </w:p>
        </w:tc>
        <w:tc>
          <w:tcPr>
            <w:tcW w:w="611" w:type="pct"/>
            <w:tcBorders>
              <w:top w:val="single" w:color="auto" w:sz="4" w:space="0"/>
              <w:left w:val="single" w:color="auto" w:sz="4" w:space="0"/>
              <w:bottom w:val="single" w:color="auto" w:sz="4" w:space="0"/>
              <w:right w:val="single" w:color="auto" w:sz="4" w:space="0"/>
            </w:tcBorders>
            <w:vAlign w:val="center"/>
          </w:tcPr>
          <w:p w14:paraId="7FA1E495">
            <w:pPr>
              <w:spacing w:line="360" w:lineRule="auto"/>
              <w:jc w:val="center"/>
              <w:rPr>
                <w:rFonts w:ascii="宋体" w:hAnsi="宋体" w:cs="宋体"/>
                <w:szCs w:val="21"/>
              </w:rPr>
            </w:pPr>
          </w:p>
        </w:tc>
        <w:tc>
          <w:tcPr>
            <w:tcW w:w="611" w:type="pct"/>
            <w:tcBorders>
              <w:top w:val="single" w:color="auto" w:sz="4" w:space="0"/>
              <w:left w:val="single" w:color="auto" w:sz="4" w:space="0"/>
              <w:bottom w:val="single" w:color="auto" w:sz="4" w:space="0"/>
              <w:right w:val="single" w:color="auto" w:sz="4" w:space="0"/>
            </w:tcBorders>
            <w:vAlign w:val="center"/>
          </w:tcPr>
          <w:p w14:paraId="4C29F355">
            <w:pPr>
              <w:spacing w:line="360" w:lineRule="auto"/>
              <w:jc w:val="center"/>
              <w:rPr>
                <w:rFonts w:ascii="宋体" w:hAnsi="宋体" w:cs="宋体"/>
                <w:szCs w:val="21"/>
              </w:rPr>
            </w:pPr>
          </w:p>
        </w:tc>
      </w:tr>
    </w:tbl>
    <w:p w14:paraId="5143129A">
      <w:pPr>
        <w:rPr>
          <w:rFonts w:ascii="宋体" w:hAnsi="宋体" w:cs="宋体"/>
          <w:sz w:val="24"/>
          <w:szCs w:val="24"/>
        </w:rPr>
      </w:pPr>
    </w:p>
    <w:p w14:paraId="6FD547C0"/>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320454"/>
    </w:sdtPr>
    <w:sdtContent>
      <w:p w14:paraId="0B8F0354">
        <w:pPr>
          <w:pStyle w:val="8"/>
          <w:jc w:val="center"/>
        </w:pPr>
        <w:r>
          <w:fldChar w:fldCharType="begin"/>
        </w:r>
        <w:r>
          <w:instrText xml:space="preserve">PAGE   \* MERGEFORMAT</w:instrText>
        </w:r>
        <w:r>
          <w:fldChar w:fldCharType="separate"/>
        </w:r>
        <w:r>
          <w:rPr>
            <w:lang w:val="zh-CN"/>
          </w:rPr>
          <w:t>2</w:t>
        </w:r>
        <w:r>
          <w:fldChar w:fldCharType="end"/>
        </w:r>
      </w:p>
    </w:sdtContent>
  </w:sdt>
  <w:p w14:paraId="66849E7A">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BB3E4"/>
    <w:multiLevelType w:val="multilevel"/>
    <w:tmpl w:val="17EBB3E4"/>
    <w:lvl w:ilvl="0" w:tentative="0">
      <w:start w:val="27"/>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B6666CC"/>
    <w:multiLevelType w:val="multilevel"/>
    <w:tmpl w:val="1B6666CC"/>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F79A827"/>
    <w:multiLevelType w:val="multilevel"/>
    <w:tmpl w:val="6F79A827"/>
    <w:lvl w:ilvl="0" w:tentative="0">
      <w:start w:val="5"/>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520CF1"/>
    <w:rsid w:val="00001E1C"/>
    <w:rsid w:val="00023D00"/>
    <w:rsid w:val="000241F0"/>
    <w:rsid w:val="00051EB4"/>
    <w:rsid w:val="000A7BE7"/>
    <w:rsid w:val="000B30E8"/>
    <w:rsid w:val="000F52F9"/>
    <w:rsid w:val="001577A5"/>
    <w:rsid w:val="001E46F9"/>
    <w:rsid w:val="00203143"/>
    <w:rsid w:val="002B03E5"/>
    <w:rsid w:val="002B4B7F"/>
    <w:rsid w:val="002C0D5F"/>
    <w:rsid w:val="002C312B"/>
    <w:rsid w:val="0032669D"/>
    <w:rsid w:val="00397F7F"/>
    <w:rsid w:val="003A1199"/>
    <w:rsid w:val="0045239D"/>
    <w:rsid w:val="004A58B8"/>
    <w:rsid w:val="00527ACD"/>
    <w:rsid w:val="00536646"/>
    <w:rsid w:val="00553611"/>
    <w:rsid w:val="00575478"/>
    <w:rsid w:val="005A3893"/>
    <w:rsid w:val="005C212B"/>
    <w:rsid w:val="00622243"/>
    <w:rsid w:val="006B493C"/>
    <w:rsid w:val="0071278C"/>
    <w:rsid w:val="00725424"/>
    <w:rsid w:val="00725503"/>
    <w:rsid w:val="00740A67"/>
    <w:rsid w:val="00782672"/>
    <w:rsid w:val="00912D4E"/>
    <w:rsid w:val="00943E3D"/>
    <w:rsid w:val="0097126E"/>
    <w:rsid w:val="009A7B83"/>
    <w:rsid w:val="009D7AB9"/>
    <w:rsid w:val="009E3676"/>
    <w:rsid w:val="00A132D4"/>
    <w:rsid w:val="00AA1A8C"/>
    <w:rsid w:val="00BA6BBD"/>
    <w:rsid w:val="00C42FEF"/>
    <w:rsid w:val="00D1758D"/>
    <w:rsid w:val="00D36DE7"/>
    <w:rsid w:val="00D47C3D"/>
    <w:rsid w:val="00DF0870"/>
    <w:rsid w:val="00E24459"/>
    <w:rsid w:val="00E40069"/>
    <w:rsid w:val="00E93B8B"/>
    <w:rsid w:val="00EB2127"/>
    <w:rsid w:val="00EB7EDE"/>
    <w:rsid w:val="00ED46D7"/>
    <w:rsid w:val="00F8290D"/>
    <w:rsid w:val="00F95D32"/>
    <w:rsid w:val="0BB565A9"/>
    <w:rsid w:val="0F56746D"/>
    <w:rsid w:val="26520CF1"/>
    <w:rsid w:val="2A844AEE"/>
    <w:rsid w:val="2AFF50BA"/>
    <w:rsid w:val="2CCE2260"/>
    <w:rsid w:val="311103DC"/>
    <w:rsid w:val="33B24B2D"/>
    <w:rsid w:val="3BD674C3"/>
    <w:rsid w:val="4A02281A"/>
    <w:rsid w:val="5A313912"/>
    <w:rsid w:val="5E0C2676"/>
    <w:rsid w:val="6C5E57D7"/>
    <w:rsid w:val="6ED05A3B"/>
    <w:rsid w:val="75B71540"/>
    <w:rsid w:val="78161D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等线"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18"/>
    <w:semiHidden/>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3">
    <w:name w:val="heading 3"/>
    <w:basedOn w:val="1"/>
    <w:next w:val="4"/>
    <w:link w:val="19"/>
    <w:semiHidden/>
    <w:unhideWhenUsed/>
    <w:qFormat/>
    <w:uiPriority w:val="0"/>
    <w:pPr>
      <w:keepNext/>
      <w:keepLines/>
      <w:autoSpaceDE w:val="0"/>
      <w:autoSpaceDN w:val="0"/>
      <w:adjustRightInd w:val="0"/>
      <w:spacing w:before="360" w:after="120"/>
      <w:jc w:val="left"/>
      <w:outlineLvl w:val="2"/>
    </w:pPr>
    <w:rPr>
      <w:rFonts w:hint="eastAsia" w:ascii="宋体"/>
      <w:b/>
      <w:kern w:val="0"/>
      <w:sz w:val="24"/>
      <w:u w:val="single"/>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15"/>
    <w:qFormat/>
    <w:uiPriority w:val="0"/>
    <w:pPr>
      <w:jc w:val="left"/>
    </w:pPr>
  </w:style>
  <w:style w:type="paragraph" w:styleId="6">
    <w:name w:val="Plain Text"/>
    <w:basedOn w:val="1"/>
    <w:link w:val="20"/>
    <w:qFormat/>
    <w:uiPriority w:val="0"/>
    <w:rPr>
      <w:rFonts w:hint="eastAsia" w:ascii="宋体" w:hAnsi="Courier New"/>
      <w:szCs w:val="21"/>
    </w:rPr>
  </w:style>
  <w:style w:type="paragraph" w:styleId="7">
    <w:name w:val="Balloon Text"/>
    <w:basedOn w:val="1"/>
    <w:link w:val="23"/>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kern w:val="0"/>
      <w:sz w:val="24"/>
    </w:rPr>
  </w:style>
  <w:style w:type="paragraph" w:styleId="11">
    <w:name w:val="annotation subject"/>
    <w:basedOn w:val="5"/>
    <w:next w:val="5"/>
    <w:link w:val="22"/>
    <w:qFormat/>
    <w:uiPriority w:val="0"/>
    <w:rPr>
      <w:b/>
      <w:bCs/>
    </w:rPr>
  </w:style>
  <w:style w:type="character" w:styleId="14">
    <w:name w:val="annotation reference"/>
    <w:basedOn w:val="13"/>
    <w:qFormat/>
    <w:uiPriority w:val="0"/>
    <w:rPr>
      <w:sz w:val="21"/>
      <w:szCs w:val="21"/>
    </w:rPr>
  </w:style>
  <w:style w:type="character" w:customStyle="1" w:styleId="15">
    <w:name w:val="批注文字 字符"/>
    <w:basedOn w:val="13"/>
    <w:link w:val="5"/>
    <w:qFormat/>
    <w:uiPriority w:val="0"/>
    <w:rPr>
      <w:rFonts w:hint="default" w:ascii="Times New Roman" w:hAnsi="Times New Roman" w:eastAsia="宋体" w:cs="Times New Roman"/>
      <w:kern w:val="2"/>
      <w:sz w:val="21"/>
    </w:rPr>
  </w:style>
  <w:style w:type="paragraph" w:customStyle="1" w:styleId="16">
    <w:name w:val="正文文字缩进 2"/>
    <w:basedOn w:val="1"/>
    <w:qFormat/>
    <w:uiPriority w:val="0"/>
    <w:pPr>
      <w:widowControl/>
      <w:spacing w:line="351" w:lineRule="atLeast"/>
      <w:ind w:firstLine="481"/>
    </w:pPr>
    <w:rPr>
      <w:rFonts w:ascii="仿宋_GB2312" w:eastAsia="仿宋_GB2312"/>
      <w:color w:val="000000"/>
      <w:kern w:val="0"/>
      <w:sz w:val="24"/>
      <w:u w:color="000000"/>
    </w:rPr>
  </w:style>
  <w:style w:type="paragraph" w:customStyle="1" w:styleId="17">
    <w:name w:val="正文文字缩进 3"/>
    <w:basedOn w:val="1"/>
    <w:qFormat/>
    <w:uiPriority w:val="0"/>
    <w:pPr>
      <w:widowControl/>
      <w:spacing w:before="119" w:line="272" w:lineRule="atLeast"/>
      <w:ind w:left="719" w:firstLine="481"/>
      <w:jc w:val="left"/>
    </w:pPr>
    <w:rPr>
      <w:rFonts w:hint="eastAsia" w:ascii="宋体"/>
      <w:color w:val="000000"/>
      <w:kern w:val="0"/>
      <w:sz w:val="24"/>
      <w:u w:color="000000"/>
    </w:rPr>
  </w:style>
  <w:style w:type="character" w:customStyle="1" w:styleId="18">
    <w:name w:val="标题 2 字符"/>
    <w:basedOn w:val="13"/>
    <w:link w:val="2"/>
    <w:qFormat/>
    <w:uiPriority w:val="0"/>
    <w:rPr>
      <w:rFonts w:hint="default" w:ascii="Arial" w:hAnsi="Arial" w:eastAsia="黑体" w:cs="Arial"/>
      <w:b/>
      <w:sz w:val="30"/>
    </w:rPr>
  </w:style>
  <w:style w:type="character" w:customStyle="1" w:styleId="19">
    <w:name w:val="标题 3 字符"/>
    <w:basedOn w:val="13"/>
    <w:link w:val="3"/>
    <w:qFormat/>
    <w:uiPriority w:val="0"/>
    <w:rPr>
      <w:rFonts w:hint="eastAsia" w:ascii="宋体" w:hAnsi="Times New Roman" w:eastAsia="宋体" w:cs="宋体"/>
      <w:b/>
      <w:sz w:val="24"/>
      <w:u w:val="single"/>
    </w:rPr>
  </w:style>
  <w:style w:type="character" w:customStyle="1" w:styleId="20">
    <w:name w:val="纯文本 字符"/>
    <w:basedOn w:val="13"/>
    <w:link w:val="6"/>
    <w:qFormat/>
    <w:uiPriority w:val="0"/>
    <w:rPr>
      <w:rFonts w:hint="eastAsia" w:ascii="宋体" w:hAnsi="Courier New" w:eastAsia="宋体" w:cs="宋体"/>
      <w:kern w:val="2"/>
      <w:sz w:val="21"/>
      <w:szCs w:val="21"/>
    </w:rPr>
  </w:style>
  <w:style w:type="character" w:customStyle="1" w:styleId="21">
    <w:name w:val="页脚 字符"/>
    <w:basedOn w:val="13"/>
    <w:link w:val="8"/>
    <w:qFormat/>
    <w:uiPriority w:val="99"/>
    <w:rPr>
      <w:rFonts w:hint="eastAsia" w:ascii="等线" w:hAnsi="等线" w:eastAsia="等线" w:cs="Times New Roman"/>
      <w:kern w:val="2"/>
      <w:sz w:val="18"/>
      <w:szCs w:val="18"/>
    </w:rPr>
  </w:style>
  <w:style w:type="character" w:customStyle="1" w:styleId="22">
    <w:name w:val="批注主题 字符"/>
    <w:basedOn w:val="15"/>
    <w:link w:val="11"/>
    <w:qFormat/>
    <w:uiPriority w:val="0"/>
    <w:rPr>
      <w:rFonts w:hint="default" w:ascii="Times New Roman" w:hAnsi="Times New Roman" w:eastAsia="宋体" w:cs="Times New Roman"/>
      <w:b/>
      <w:bCs/>
      <w:kern w:val="2"/>
      <w:sz w:val="21"/>
    </w:rPr>
  </w:style>
  <w:style w:type="character" w:customStyle="1" w:styleId="23">
    <w:name w:val="批注框文本 字符"/>
    <w:basedOn w:val="13"/>
    <w:link w:val="7"/>
    <w:qFormat/>
    <w:uiPriority w:val="0"/>
    <w:rPr>
      <w:rFonts w:ascii="Times New Roman" w:hAnsi="Times New Roman" w:eastAsia="宋体" w:cs="Times New Roman"/>
      <w:kern w:val="2"/>
      <w:sz w:val="18"/>
      <w:szCs w:val="18"/>
    </w:rPr>
  </w:style>
  <w:style w:type="paragraph" w:customStyle="1" w:styleId="24">
    <w:name w:val="修订1"/>
    <w:hidden/>
    <w:unhideWhenUsed/>
    <w:qFormat/>
    <w:uiPriority w:val="99"/>
    <w:rPr>
      <w:rFonts w:ascii="Times New Roman" w:hAnsi="Times New Roman" w:eastAsia="宋体" w:cs="Times New Roman"/>
      <w:kern w:val="2"/>
      <w:sz w:val="21"/>
      <w:lang w:val="en-US" w:eastAsia="zh-CN" w:bidi="ar-SA"/>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16</Pages>
  <Words>7143</Words>
  <Characters>7703</Characters>
  <Lines>64</Lines>
  <Paragraphs>18</Paragraphs>
  <TotalTime>1</TotalTime>
  <ScaleCrop>false</ScaleCrop>
  <LinksUpToDate>false</LinksUpToDate>
  <CharactersWithSpaces>8550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2025-11-25T05:57:00Z</dcterms:created>
  <dc:creator>DC</dc:creator>
  <cp:lastModifiedBy>温婧琦</cp:lastModifiedBy>
  <dcterms:modified xsi:type="dcterms:W3CDTF">2026-09-09T03:05:05Z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1C9FB13E650F4D60B6D98AF0408E33A7_13</vt:lpwstr>
  </property>
  <property fmtid="{D5CDD505-2E9C-101B-9397-08002B2CF9AE}" pid="4" name="KSOTemplateDocerSaveRecord">
    <vt:lpwstr>eyJoZGlkIjoiNDI1NGQ4MDY4NjMxYWVlMzc3ODM2NDE0MmU1ODUxYzYiLCJ1c2VySWQiOiIyNTk0ODAzODQifQ==</vt:lpwstr>
  </property>
</Properties>
</file>