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E330F6">
      <w:pPr>
        <w:pStyle w:val="6"/>
        <w:ind w:firstLine="643" w:firstLineChars="200"/>
        <w:jc w:val="center"/>
        <w:rPr>
          <w:rFonts w:hAnsi="宋体" w:cs="宋体"/>
          <w:b/>
          <w:color w:val="auto"/>
          <w:sz w:val="48"/>
        </w:rPr>
      </w:pPr>
      <w:r>
        <w:rPr>
          <w:rFonts w:hAnsi="宋体" w:cs="宋体"/>
          <w:b/>
          <w:color w:val="auto"/>
          <w:sz w:val="32"/>
          <w:szCs w:val="32"/>
        </w:rPr>
        <w:t xml:space="preserve">                       </w:t>
      </w:r>
      <w:r>
        <w:rPr>
          <w:rFonts w:hAnsi="宋体" w:cs="宋体"/>
          <w:b/>
          <w:color w:val="auto"/>
          <w:sz w:val="24"/>
          <w:szCs w:val="24"/>
        </w:rPr>
        <w:t>合同编号：</w:t>
      </w:r>
      <w:r>
        <w:rPr>
          <w:rFonts w:hAnsi="宋体" w:cs="宋体"/>
          <w:b/>
          <w:color w:val="auto"/>
          <w:sz w:val="24"/>
          <w:szCs w:val="24"/>
          <w:u w:val="single"/>
        </w:rPr>
        <w:t xml:space="preserve">            </w:t>
      </w:r>
    </w:p>
    <w:p w14:paraId="521A9159">
      <w:pPr>
        <w:pStyle w:val="6"/>
        <w:ind w:firstLine="964" w:firstLineChars="200"/>
        <w:jc w:val="center"/>
        <w:rPr>
          <w:rFonts w:hAnsi="宋体" w:cs="宋体"/>
          <w:b/>
          <w:color w:val="auto"/>
          <w:sz w:val="48"/>
        </w:rPr>
      </w:pPr>
    </w:p>
    <w:p w14:paraId="20F41B33">
      <w:pPr>
        <w:pStyle w:val="6"/>
        <w:ind w:firstLine="964" w:firstLineChars="200"/>
        <w:jc w:val="center"/>
        <w:rPr>
          <w:rFonts w:hAnsi="宋体" w:cs="宋体"/>
          <w:b/>
          <w:color w:val="auto"/>
          <w:sz w:val="48"/>
        </w:rPr>
      </w:pPr>
    </w:p>
    <w:p w14:paraId="798BF87E">
      <w:pPr>
        <w:pStyle w:val="6"/>
        <w:ind w:firstLine="964" w:firstLineChars="200"/>
        <w:jc w:val="center"/>
        <w:rPr>
          <w:rFonts w:hAnsi="宋体" w:cs="宋体"/>
          <w:b/>
          <w:color w:val="auto"/>
          <w:sz w:val="48"/>
          <w:szCs w:val="48"/>
        </w:rPr>
      </w:pPr>
    </w:p>
    <w:p w14:paraId="2933061F">
      <w:pPr>
        <w:pStyle w:val="6"/>
        <w:ind w:firstLine="964" w:firstLineChars="200"/>
        <w:jc w:val="center"/>
        <w:rPr>
          <w:rFonts w:hAnsi="宋体" w:cs="宋体"/>
          <w:b/>
          <w:color w:val="auto"/>
          <w:sz w:val="48"/>
          <w:szCs w:val="48"/>
        </w:rPr>
      </w:pPr>
      <w:r>
        <w:rPr>
          <w:rFonts w:hAnsi="宋体" w:cs="宋体"/>
          <w:b/>
          <w:color w:val="auto"/>
          <w:sz w:val="48"/>
          <w:szCs w:val="48"/>
        </w:rPr>
        <w:t>政府采购合同（货物类）</w:t>
      </w:r>
    </w:p>
    <w:p w14:paraId="7CB5B9D8">
      <w:pPr>
        <w:pStyle w:val="6"/>
        <w:ind w:firstLine="602" w:firstLineChars="200"/>
        <w:jc w:val="center"/>
        <w:rPr>
          <w:rFonts w:hAnsi="宋体" w:cs="宋体"/>
          <w:b/>
          <w:color w:val="auto"/>
          <w:sz w:val="30"/>
          <w:szCs w:val="30"/>
        </w:rPr>
      </w:pPr>
    </w:p>
    <w:p w14:paraId="75E9D8D7">
      <w:pPr>
        <w:pStyle w:val="6"/>
        <w:ind w:firstLine="880" w:firstLineChars="200"/>
        <w:rPr>
          <w:rFonts w:hAnsi="宋体" w:cs="宋体"/>
          <w:color w:val="auto"/>
          <w:sz w:val="44"/>
        </w:rPr>
      </w:pPr>
    </w:p>
    <w:p w14:paraId="758D2FFB">
      <w:pPr>
        <w:pStyle w:val="6"/>
        <w:ind w:firstLine="880" w:firstLineChars="200"/>
        <w:rPr>
          <w:rFonts w:hAnsi="宋体" w:cs="宋体"/>
          <w:color w:val="auto"/>
          <w:sz w:val="44"/>
        </w:rPr>
      </w:pPr>
    </w:p>
    <w:p w14:paraId="0EBA6D0B">
      <w:pPr>
        <w:pStyle w:val="6"/>
        <w:ind w:firstLine="880" w:firstLineChars="200"/>
        <w:rPr>
          <w:rFonts w:hAnsi="宋体" w:cs="宋体"/>
          <w:color w:val="auto"/>
          <w:sz w:val="44"/>
        </w:rPr>
      </w:pPr>
    </w:p>
    <w:p w14:paraId="054FF1BC">
      <w:pPr>
        <w:pStyle w:val="6"/>
        <w:ind w:firstLine="880" w:firstLineChars="200"/>
        <w:rPr>
          <w:rFonts w:hAnsi="宋体" w:cs="宋体"/>
          <w:color w:val="auto"/>
          <w:sz w:val="44"/>
        </w:rPr>
      </w:pPr>
    </w:p>
    <w:p w14:paraId="530AFF41">
      <w:pPr>
        <w:pStyle w:val="6"/>
        <w:ind w:firstLine="880" w:firstLineChars="200"/>
        <w:rPr>
          <w:rFonts w:hAnsi="宋体" w:cs="宋体"/>
          <w:color w:val="auto"/>
          <w:sz w:val="44"/>
        </w:rPr>
      </w:pPr>
    </w:p>
    <w:p w14:paraId="1E3DC4B1">
      <w:pPr>
        <w:pStyle w:val="6"/>
        <w:rPr>
          <w:rFonts w:hAnsi="宋体" w:cs="宋体"/>
          <w:color w:val="auto"/>
          <w:sz w:val="44"/>
        </w:rPr>
      </w:pPr>
    </w:p>
    <w:p w14:paraId="04981C74">
      <w:pPr>
        <w:pStyle w:val="6"/>
        <w:ind w:firstLine="880" w:firstLineChars="200"/>
        <w:rPr>
          <w:rFonts w:hAnsi="宋体" w:cs="宋体"/>
          <w:color w:val="auto"/>
          <w:sz w:val="44"/>
        </w:rPr>
      </w:pPr>
    </w:p>
    <w:p w14:paraId="7AF92F16">
      <w:pPr>
        <w:pStyle w:val="6"/>
        <w:snapToGrid w:val="0"/>
        <w:ind w:firstLine="643" w:firstLineChars="200"/>
        <w:rPr>
          <w:rFonts w:hAnsi="宋体" w:cs="宋体"/>
          <w:bCs/>
          <w:color w:val="auto"/>
          <w:sz w:val="32"/>
          <w:szCs w:val="32"/>
          <w:u w:val="single"/>
        </w:rPr>
      </w:pPr>
      <w:r>
        <w:rPr>
          <w:rFonts w:hAnsi="宋体" w:cs="宋体"/>
          <w:b/>
          <w:color w:val="auto"/>
          <w:sz w:val="32"/>
          <w:szCs w:val="32"/>
        </w:rPr>
        <w:t>项目名称：</w:t>
      </w:r>
      <w:r>
        <w:rPr>
          <w:rFonts w:hAnsi="宋体" w:cs="宋体"/>
          <w:bCs/>
          <w:color w:val="auto"/>
          <w:sz w:val="32"/>
          <w:szCs w:val="32"/>
          <w:u w:val="single"/>
        </w:rPr>
        <w:t xml:space="preserve">      </w:t>
      </w:r>
      <w:r>
        <w:rPr>
          <w:rFonts w:hint="eastAsia" w:hAnsi="宋体" w:cs="宋体"/>
          <w:bCs/>
          <w:color w:val="auto"/>
          <w:sz w:val="32"/>
          <w:szCs w:val="32"/>
          <w:u w:val="single"/>
          <w:lang w:val="en-US" w:eastAsia="zh-CN"/>
        </w:rPr>
        <w:t>古代</w:t>
      </w:r>
      <w:r>
        <w:rPr>
          <w:rFonts w:hAnsi="宋体" w:cs="宋体"/>
          <w:bCs/>
          <w:color w:val="auto"/>
          <w:sz w:val="32"/>
          <w:szCs w:val="32"/>
          <w:u w:val="single"/>
        </w:rPr>
        <w:t xml:space="preserve">木帆船模型制作                              </w:t>
      </w:r>
    </w:p>
    <w:p w14:paraId="6C3FF24C">
      <w:pPr>
        <w:pStyle w:val="6"/>
        <w:snapToGrid w:val="0"/>
        <w:ind w:firstLine="640" w:firstLineChars="200"/>
        <w:rPr>
          <w:rFonts w:hAnsi="宋体" w:cs="宋体"/>
          <w:bCs/>
          <w:color w:val="auto"/>
          <w:sz w:val="32"/>
          <w:szCs w:val="32"/>
          <w:u w:val="single"/>
        </w:rPr>
      </w:pPr>
    </w:p>
    <w:p w14:paraId="5FD77B10">
      <w:pPr>
        <w:pStyle w:val="6"/>
        <w:snapToGrid w:val="0"/>
        <w:ind w:firstLine="643" w:firstLineChars="200"/>
        <w:rPr>
          <w:rFonts w:hAnsi="宋体" w:cs="宋体"/>
          <w:b/>
          <w:color w:val="auto"/>
          <w:sz w:val="32"/>
          <w:szCs w:val="32"/>
          <w:u w:val="thick"/>
        </w:rPr>
      </w:pPr>
      <w:r>
        <w:rPr>
          <w:rFonts w:hAnsi="宋体" w:cs="宋体"/>
          <w:b/>
          <w:color w:val="auto"/>
          <w:sz w:val="32"/>
          <w:szCs w:val="32"/>
        </w:rPr>
        <w:t>项目地点：</w:t>
      </w:r>
      <w:r>
        <w:rPr>
          <w:rFonts w:hAnsi="宋体" w:cs="宋体"/>
          <w:bCs/>
          <w:color w:val="auto"/>
          <w:sz w:val="32"/>
          <w:szCs w:val="32"/>
          <w:u w:val="single"/>
        </w:rPr>
        <w:t xml:space="preserve">      </w:t>
      </w:r>
      <w:r>
        <w:rPr>
          <w:rFonts w:hint="eastAsia" w:hAnsi="宋体" w:cs="宋体"/>
          <w:bCs/>
          <w:color w:val="auto"/>
          <w:sz w:val="32"/>
          <w:szCs w:val="32"/>
          <w:u w:val="single"/>
          <w:lang w:val="en-US" w:eastAsia="zh-CN"/>
        </w:rPr>
        <w:t>山东省</w:t>
      </w:r>
      <w:r>
        <w:rPr>
          <w:rFonts w:hAnsi="宋体" w:cs="宋体"/>
          <w:bCs/>
          <w:color w:val="auto"/>
          <w:sz w:val="32"/>
          <w:szCs w:val="32"/>
          <w:u w:val="single"/>
        </w:rPr>
        <w:t>青岛</w:t>
      </w:r>
      <w:r>
        <w:rPr>
          <w:rFonts w:hint="eastAsia" w:hAnsi="宋体" w:cs="宋体"/>
          <w:bCs/>
          <w:color w:val="auto"/>
          <w:sz w:val="32"/>
          <w:szCs w:val="32"/>
          <w:u w:val="single"/>
          <w:lang w:val="en-US" w:eastAsia="zh-CN"/>
        </w:rPr>
        <w:t>市</w:t>
      </w:r>
      <w:r>
        <w:rPr>
          <w:rFonts w:hAnsi="宋体" w:cs="宋体"/>
          <w:bCs/>
          <w:color w:val="auto"/>
          <w:sz w:val="32"/>
          <w:szCs w:val="32"/>
          <w:u w:val="single"/>
        </w:rPr>
        <w:t xml:space="preserve">                      </w:t>
      </w:r>
    </w:p>
    <w:p w14:paraId="3F9D60D4">
      <w:pPr>
        <w:pStyle w:val="6"/>
        <w:snapToGrid w:val="0"/>
        <w:ind w:firstLine="643" w:firstLineChars="200"/>
        <w:rPr>
          <w:rFonts w:hAnsi="宋体" w:cs="宋体"/>
          <w:b/>
          <w:color w:val="auto"/>
          <w:sz w:val="32"/>
          <w:szCs w:val="32"/>
          <w:u w:val="thick"/>
        </w:rPr>
      </w:pPr>
    </w:p>
    <w:p w14:paraId="102D0DE8">
      <w:pPr>
        <w:pStyle w:val="6"/>
        <w:snapToGrid w:val="0"/>
        <w:ind w:firstLine="643" w:firstLineChars="200"/>
        <w:rPr>
          <w:rFonts w:hAnsi="宋体" w:cs="宋体"/>
          <w:b/>
          <w:color w:val="auto"/>
          <w:sz w:val="32"/>
          <w:szCs w:val="32"/>
          <w:u w:val="thick"/>
        </w:rPr>
      </w:pPr>
      <w:r>
        <w:rPr>
          <w:rFonts w:hAnsi="宋体" w:cs="宋体"/>
          <w:b/>
          <w:color w:val="auto"/>
          <w:sz w:val="32"/>
          <w:szCs w:val="32"/>
        </w:rPr>
        <w:t>甲方：</w:t>
      </w:r>
      <w:r>
        <w:rPr>
          <w:rFonts w:hAnsi="宋体" w:cs="宋体"/>
          <w:bCs/>
          <w:color w:val="auto"/>
          <w:sz w:val="32"/>
          <w:szCs w:val="32"/>
          <w:u w:val="single"/>
        </w:rPr>
        <w:t xml:space="preserve">          国家文物局考古研究中心                        </w:t>
      </w:r>
    </w:p>
    <w:p w14:paraId="681AE302">
      <w:pPr>
        <w:pStyle w:val="6"/>
        <w:snapToGrid w:val="0"/>
        <w:ind w:firstLine="643" w:firstLineChars="200"/>
        <w:rPr>
          <w:rFonts w:hAnsi="宋体" w:cs="宋体"/>
          <w:b/>
          <w:color w:val="auto"/>
          <w:sz w:val="32"/>
          <w:szCs w:val="32"/>
        </w:rPr>
      </w:pPr>
    </w:p>
    <w:p w14:paraId="047D00E1">
      <w:pPr>
        <w:pStyle w:val="6"/>
        <w:snapToGrid w:val="0"/>
        <w:ind w:firstLine="643" w:firstLineChars="200"/>
        <w:rPr>
          <w:rFonts w:hAnsi="宋体" w:cs="宋体"/>
          <w:b/>
          <w:color w:val="auto"/>
          <w:sz w:val="32"/>
          <w:szCs w:val="32"/>
          <w:u w:val="thick"/>
        </w:rPr>
      </w:pPr>
      <w:r>
        <w:rPr>
          <w:rFonts w:hAnsi="宋体" w:cs="宋体"/>
          <w:b/>
          <w:color w:val="auto"/>
          <w:sz w:val="32"/>
          <w:szCs w:val="32"/>
        </w:rPr>
        <w:t>乙方：</w:t>
      </w:r>
      <w:r>
        <w:rPr>
          <w:rFonts w:hAnsi="宋体" w:cs="宋体"/>
          <w:b/>
          <w:color w:val="auto"/>
          <w:sz w:val="32"/>
          <w:szCs w:val="32"/>
          <w:u w:val="single"/>
        </w:rPr>
        <w:t xml:space="preserve"> </w:t>
      </w:r>
      <w:r>
        <w:rPr>
          <w:rFonts w:hAnsi="宋体" w:cs="宋体"/>
          <w:bCs/>
          <w:color w:val="auto"/>
          <w:sz w:val="32"/>
          <w:szCs w:val="32"/>
          <w:u w:val="single"/>
        </w:rPr>
        <w:t xml:space="preserve">                                </w:t>
      </w:r>
    </w:p>
    <w:p w14:paraId="19B9F2E6">
      <w:pPr>
        <w:pStyle w:val="6"/>
        <w:snapToGrid w:val="0"/>
        <w:ind w:firstLine="643" w:firstLineChars="200"/>
        <w:rPr>
          <w:rFonts w:hAnsi="宋体" w:cs="宋体"/>
          <w:b/>
          <w:color w:val="auto"/>
          <w:sz w:val="32"/>
          <w:szCs w:val="32"/>
        </w:rPr>
      </w:pPr>
    </w:p>
    <w:p w14:paraId="37CC9182">
      <w:pPr>
        <w:pStyle w:val="6"/>
        <w:snapToGrid w:val="0"/>
        <w:ind w:firstLine="643" w:firstLineChars="200"/>
        <w:rPr>
          <w:rFonts w:hAnsi="宋体" w:cs="宋体"/>
          <w:b/>
          <w:color w:val="auto"/>
          <w:sz w:val="32"/>
          <w:szCs w:val="32"/>
        </w:rPr>
      </w:pPr>
      <w:r>
        <w:rPr>
          <w:rFonts w:hAnsi="宋体" w:cs="宋体"/>
          <w:b/>
          <w:color w:val="auto"/>
          <w:sz w:val="32"/>
          <w:szCs w:val="32"/>
        </w:rPr>
        <w:t>签订日期：</w:t>
      </w:r>
      <w:r>
        <w:rPr>
          <w:rFonts w:hAnsi="宋体" w:cs="宋体"/>
          <w:bCs/>
          <w:color w:val="auto"/>
          <w:sz w:val="32"/>
          <w:szCs w:val="32"/>
          <w:u w:val="single"/>
        </w:rPr>
        <w:t xml:space="preserve">       </w:t>
      </w:r>
      <w:r>
        <w:rPr>
          <w:rFonts w:hAnsi="宋体" w:cs="宋体"/>
          <w:color w:val="auto"/>
          <w:sz w:val="32"/>
          <w:szCs w:val="32"/>
        </w:rPr>
        <w:t>年</w:t>
      </w:r>
      <w:r>
        <w:rPr>
          <w:rFonts w:hAnsi="宋体" w:cs="宋体"/>
          <w:bCs/>
          <w:color w:val="auto"/>
          <w:sz w:val="32"/>
          <w:szCs w:val="32"/>
          <w:u w:val="single"/>
        </w:rPr>
        <w:t xml:space="preserve">      </w:t>
      </w:r>
      <w:r>
        <w:rPr>
          <w:rFonts w:hAnsi="宋体" w:cs="宋体"/>
          <w:color w:val="auto"/>
          <w:sz w:val="32"/>
          <w:szCs w:val="32"/>
        </w:rPr>
        <w:t>月</w:t>
      </w:r>
      <w:r>
        <w:rPr>
          <w:rFonts w:hAnsi="宋体" w:cs="宋体"/>
          <w:bCs/>
          <w:color w:val="auto"/>
          <w:sz w:val="32"/>
          <w:szCs w:val="32"/>
          <w:u w:val="single"/>
        </w:rPr>
        <w:t xml:space="preserve">      </w:t>
      </w:r>
      <w:r>
        <w:rPr>
          <w:rFonts w:hAnsi="宋体" w:cs="宋体"/>
          <w:color w:val="auto"/>
          <w:sz w:val="32"/>
          <w:szCs w:val="32"/>
        </w:rPr>
        <w:t>日</w:t>
      </w:r>
    </w:p>
    <w:p w14:paraId="07B57437">
      <w:pPr>
        <w:pStyle w:val="6"/>
        <w:snapToGrid w:val="0"/>
        <w:ind w:firstLine="643" w:firstLineChars="200"/>
        <w:rPr>
          <w:rFonts w:hAnsi="宋体" w:cs="宋体"/>
          <w:b/>
          <w:color w:val="auto"/>
          <w:sz w:val="32"/>
          <w:szCs w:val="32"/>
        </w:rPr>
      </w:pPr>
    </w:p>
    <w:p w14:paraId="3F23B297">
      <w:pPr>
        <w:pStyle w:val="6"/>
        <w:snapToGrid w:val="0"/>
        <w:ind w:firstLine="643" w:firstLineChars="200"/>
        <w:rPr>
          <w:rFonts w:hAnsi="宋体" w:cs="宋体"/>
          <w:bCs/>
          <w:color w:val="auto"/>
          <w:sz w:val="32"/>
          <w:szCs w:val="32"/>
          <w:u w:val="single"/>
        </w:rPr>
      </w:pPr>
      <w:r>
        <w:rPr>
          <w:rFonts w:hAnsi="宋体" w:cs="宋体"/>
          <w:b/>
          <w:color w:val="auto"/>
          <w:sz w:val="32"/>
          <w:szCs w:val="32"/>
        </w:rPr>
        <w:t xml:space="preserve">签订地点： </w:t>
      </w:r>
      <w:r>
        <w:rPr>
          <w:rFonts w:hAnsi="宋体" w:cs="宋体"/>
          <w:bCs/>
          <w:color w:val="auto"/>
          <w:sz w:val="32"/>
          <w:szCs w:val="32"/>
          <w:u w:val="single"/>
        </w:rPr>
        <w:t xml:space="preserve">             </w:t>
      </w:r>
      <w:r>
        <w:rPr>
          <w:rFonts w:hint="eastAsia" w:hAnsi="宋体" w:cs="宋体"/>
          <w:bCs/>
          <w:color w:val="auto"/>
          <w:sz w:val="32"/>
          <w:szCs w:val="32"/>
          <w:u w:val="single"/>
          <w:lang w:val="en-US" w:eastAsia="zh-CN"/>
        </w:rPr>
        <w:t>北京</w:t>
      </w:r>
      <w:r>
        <w:rPr>
          <w:rFonts w:hAnsi="宋体" w:cs="宋体"/>
          <w:bCs/>
          <w:color w:val="auto"/>
          <w:sz w:val="32"/>
          <w:szCs w:val="32"/>
          <w:u w:val="single"/>
        </w:rPr>
        <w:t xml:space="preserve">                         </w:t>
      </w:r>
    </w:p>
    <w:p w14:paraId="32DA41F4">
      <w:pPr>
        <w:rPr>
          <w:color w:val="auto"/>
        </w:rPr>
      </w:pPr>
    </w:p>
    <w:p w14:paraId="7FF39684">
      <w:pPr>
        <w:rPr>
          <w:color w:val="auto"/>
        </w:rPr>
      </w:pPr>
    </w:p>
    <w:p w14:paraId="2F1AC647">
      <w:pPr>
        <w:rPr>
          <w:color w:val="auto"/>
        </w:rPr>
      </w:pPr>
    </w:p>
    <w:p w14:paraId="37B04CAA">
      <w:pPr>
        <w:rPr>
          <w:color w:val="auto"/>
        </w:rPr>
      </w:pPr>
    </w:p>
    <w:p w14:paraId="108D6C14">
      <w:pPr>
        <w:rPr>
          <w:color w:val="auto"/>
        </w:rPr>
      </w:pPr>
    </w:p>
    <w:p w14:paraId="689C5888">
      <w:pPr>
        <w:widowControl/>
        <w:spacing w:line="360" w:lineRule="auto"/>
        <w:ind w:firstLine="482" w:firstLineChars="200"/>
        <w:jc w:val="center"/>
        <w:rPr>
          <w:rFonts w:hint="eastAsia" w:ascii="宋体" w:hAnsi="宋体" w:cs="宋体"/>
          <w:b/>
          <w:color w:val="auto"/>
          <w:sz w:val="24"/>
          <w:szCs w:val="24"/>
        </w:rPr>
        <w:sectPr>
          <w:pgSz w:w="11906" w:h="16838"/>
          <w:pgMar w:top="1440" w:right="1800" w:bottom="1440" w:left="1800" w:header="851" w:footer="992" w:gutter="0"/>
          <w:cols w:space="425" w:num="1"/>
          <w:docGrid w:type="lines" w:linePitch="312" w:charSpace="0"/>
        </w:sectPr>
      </w:pPr>
    </w:p>
    <w:p w14:paraId="698C1C7D">
      <w:pPr>
        <w:widowControl/>
        <w:spacing w:line="360" w:lineRule="auto"/>
        <w:ind w:firstLine="723" w:firstLineChars="200"/>
        <w:jc w:val="center"/>
        <w:rPr>
          <w:rFonts w:hint="eastAsia" w:ascii="宋体" w:hAnsi="宋体" w:cs="宋体"/>
          <w:b/>
          <w:color w:val="auto"/>
          <w:sz w:val="36"/>
          <w:szCs w:val="36"/>
        </w:rPr>
      </w:pPr>
      <w:r>
        <w:rPr>
          <w:rFonts w:hint="eastAsia" w:ascii="宋体" w:hAnsi="宋体" w:cs="宋体"/>
          <w:b/>
          <w:color w:val="auto"/>
          <w:sz w:val="36"/>
          <w:szCs w:val="36"/>
        </w:rPr>
        <w:t>合</w:t>
      </w:r>
      <w:r>
        <w:rPr>
          <w:rFonts w:ascii="宋体" w:hAnsi="宋体" w:cs="宋体"/>
          <w:b/>
          <w:color w:val="auto"/>
          <w:sz w:val="36"/>
          <w:szCs w:val="36"/>
        </w:rPr>
        <w:t xml:space="preserve"> </w:t>
      </w:r>
      <w:r>
        <w:rPr>
          <w:rFonts w:hint="eastAsia" w:ascii="宋体" w:hAnsi="宋体" w:cs="宋体"/>
          <w:b/>
          <w:color w:val="auto"/>
          <w:sz w:val="36"/>
          <w:szCs w:val="36"/>
        </w:rPr>
        <w:t>同</w:t>
      </w:r>
      <w:r>
        <w:rPr>
          <w:rFonts w:ascii="宋体" w:hAnsi="宋体" w:cs="宋体"/>
          <w:b/>
          <w:color w:val="auto"/>
          <w:sz w:val="36"/>
          <w:szCs w:val="36"/>
        </w:rPr>
        <w:t xml:space="preserve"> </w:t>
      </w:r>
      <w:r>
        <w:rPr>
          <w:rFonts w:hint="eastAsia" w:ascii="宋体" w:hAnsi="宋体" w:cs="宋体"/>
          <w:b/>
          <w:color w:val="auto"/>
          <w:sz w:val="36"/>
          <w:szCs w:val="36"/>
        </w:rPr>
        <w:t>书</w:t>
      </w:r>
    </w:p>
    <w:p w14:paraId="58A15A67">
      <w:pPr>
        <w:snapToGrid w:val="0"/>
        <w:spacing w:line="360" w:lineRule="auto"/>
        <w:ind w:firstLine="480" w:firstLineChars="200"/>
        <w:rPr>
          <w:rFonts w:hint="eastAsia" w:ascii="宋体" w:hAnsi="宋体" w:cs="宋体"/>
          <w:color w:val="auto"/>
          <w:sz w:val="24"/>
          <w:szCs w:val="24"/>
        </w:rPr>
      </w:pPr>
    </w:p>
    <w:p w14:paraId="03EFC47F">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u w:val="single"/>
        </w:rPr>
        <w:t>国家文物局考古研究中心</w:t>
      </w:r>
      <w:r>
        <w:rPr>
          <w:rFonts w:hint="eastAsia" w:ascii="宋体" w:hAnsi="宋体" w:cs="宋体"/>
          <w:color w:val="auto"/>
          <w:sz w:val="24"/>
          <w:szCs w:val="24"/>
        </w:rPr>
        <w:t>(甲方)通过</w:t>
      </w:r>
      <w:r>
        <w:rPr>
          <w:rFonts w:hint="eastAsia" w:ascii="宋体" w:hAnsi="宋体" w:cs="宋体"/>
          <w:color w:val="auto"/>
          <w:sz w:val="24"/>
          <w:szCs w:val="24"/>
          <w:lang w:val="en-US" w:eastAsia="zh-CN"/>
        </w:rPr>
        <w:t>比选采购</w:t>
      </w:r>
      <w:r>
        <w:rPr>
          <w:rFonts w:hint="eastAsia" w:ascii="宋体" w:hAnsi="宋体" w:cs="宋体"/>
          <w:color w:val="auto"/>
          <w:sz w:val="24"/>
          <w:szCs w:val="24"/>
        </w:rPr>
        <w:t>，确定</w:t>
      </w:r>
      <w:r>
        <w:rPr>
          <w:rFonts w:hint="eastAsia" w:ascii="宋体" w:hAnsi="宋体" w:cs="宋体"/>
          <w:color w:val="auto"/>
          <w:sz w:val="24"/>
          <w:u w:val="single"/>
        </w:rPr>
        <w:t xml:space="preserve">      </w:t>
      </w:r>
      <w:r>
        <w:rPr>
          <w:rFonts w:hint="eastAsia" w:ascii="宋体" w:hAnsi="宋体" w:cs="宋体"/>
          <w:color w:val="auto"/>
          <w:sz w:val="24"/>
          <w:szCs w:val="24"/>
          <w:u w:val="single"/>
        </w:rPr>
        <w:t xml:space="preserve">      </w:t>
      </w:r>
      <w:r>
        <w:rPr>
          <w:rFonts w:hint="eastAsia" w:ascii="宋体" w:hAnsi="宋体" w:cs="宋体"/>
          <w:color w:val="auto"/>
          <w:sz w:val="24"/>
          <w:szCs w:val="24"/>
        </w:rPr>
        <w:t>(乙方)为</w:t>
      </w:r>
      <w:r>
        <w:rPr>
          <w:rFonts w:hint="eastAsia" w:ascii="宋体" w:hAnsi="宋体" w:cs="宋体"/>
          <w:color w:val="auto"/>
          <w:sz w:val="24"/>
          <w:szCs w:val="24"/>
          <w:u w:val="none"/>
        </w:rPr>
        <w:t>国家文物局考古研究中心</w:t>
      </w:r>
      <w:r>
        <w:rPr>
          <w:rFonts w:hint="eastAsia" w:ascii="宋体" w:hAnsi="宋体" w:cs="宋体"/>
          <w:color w:val="auto"/>
          <w:sz w:val="24"/>
          <w:szCs w:val="24"/>
          <w:u w:val="single"/>
          <w:lang w:val="en-US" w:eastAsia="zh-CN"/>
        </w:rPr>
        <w:t>古代木帆船</w:t>
      </w:r>
      <w:r>
        <w:rPr>
          <w:rFonts w:hint="eastAsia" w:ascii="宋体" w:hAnsi="宋体" w:cs="宋体"/>
          <w:color w:val="auto"/>
          <w:sz w:val="24"/>
          <w:szCs w:val="24"/>
          <w:u w:val="single"/>
        </w:rPr>
        <w:t>模型制作</w:t>
      </w:r>
      <w:r>
        <w:rPr>
          <w:rFonts w:hint="eastAsia" w:ascii="宋体" w:hAnsi="宋体" w:cs="宋体"/>
          <w:color w:val="auto"/>
          <w:sz w:val="24"/>
          <w:szCs w:val="24"/>
          <w:u w:val="none"/>
        </w:rPr>
        <w:t>购置项目</w:t>
      </w:r>
      <w:r>
        <w:rPr>
          <w:rFonts w:hint="eastAsia" w:ascii="宋体" w:hAnsi="宋体" w:cs="宋体"/>
          <w:color w:val="auto"/>
          <w:sz w:val="24"/>
          <w:szCs w:val="24"/>
        </w:rPr>
        <w:t>的中标人/成交人。双方在平等自愿的基础上，同意按照下面的条款和条件，签署本合同。</w:t>
      </w:r>
    </w:p>
    <w:p w14:paraId="562C8166">
      <w:pPr>
        <w:snapToGrid w:val="0"/>
        <w:spacing w:line="360" w:lineRule="auto"/>
        <w:ind w:firstLine="482" w:firstLineChars="200"/>
        <w:textAlignment w:val="baseline"/>
        <w:rPr>
          <w:rFonts w:hint="eastAsia" w:ascii="宋体" w:hAnsi="宋体" w:cs="宋体"/>
          <w:b/>
          <w:color w:val="auto"/>
          <w:sz w:val="24"/>
          <w:szCs w:val="24"/>
        </w:rPr>
      </w:pPr>
      <w:r>
        <w:rPr>
          <w:rFonts w:hint="eastAsia" w:ascii="宋体" w:hAnsi="宋体" w:cs="宋体"/>
          <w:b/>
          <w:color w:val="auto"/>
          <w:sz w:val="24"/>
          <w:szCs w:val="24"/>
        </w:rPr>
        <w:t>1. 合同文件</w:t>
      </w:r>
    </w:p>
    <w:p w14:paraId="2B7C7B56">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下列文件是合同的组成部分，优先支配地位的次序如下：</w:t>
      </w:r>
    </w:p>
    <w:p w14:paraId="583A62C3">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（1）本合同书</w:t>
      </w:r>
    </w:p>
    <w:p w14:paraId="6A08478A">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（2）中标通知书/成交通知书（如有）</w:t>
      </w:r>
    </w:p>
    <w:p w14:paraId="74082E28">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（3）合同条款及特殊条款内容</w:t>
      </w:r>
    </w:p>
    <w:p w14:paraId="5C8F8BD8">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（4）投标文件(含澄清文件)/报价文件（含澄清文件）（如有）</w:t>
      </w:r>
    </w:p>
    <w:p w14:paraId="2FC63C45">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（5）招标文件(含招标文件补充通知)/谈判文件（含谈判文件补充通知）（如有）</w:t>
      </w:r>
    </w:p>
    <w:p w14:paraId="2668CD4F">
      <w:pPr>
        <w:snapToGrid w:val="0"/>
        <w:spacing w:line="360" w:lineRule="auto"/>
        <w:ind w:firstLine="482" w:firstLineChars="200"/>
        <w:rPr>
          <w:rFonts w:hint="eastAsia" w:ascii="宋体" w:hAnsi="宋体" w:cs="宋体"/>
          <w:color w:val="auto"/>
          <w:sz w:val="24"/>
          <w:szCs w:val="24"/>
        </w:rPr>
      </w:pPr>
      <w:r>
        <w:rPr>
          <w:rFonts w:hint="eastAsia" w:ascii="宋体" w:hAnsi="宋体" w:cs="宋体"/>
          <w:b/>
          <w:color w:val="auto"/>
          <w:sz w:val="24"/>
          <w:szCs w:val="24"/>
        </w:rPr>
        <w:t>2. 采购内容</w:t>
      </w:r>
    </w:p>
    <w:p w14:paraId="7144F2D6">
      <w:pPr>
        <w:snapToGrid w:val="0"/>
        <w:spacing w:line="360" w:lineRule="auto"/>
        <w:ind w:firstLine="480" w:firstLineChars="200"/>
        <w:rPr>
          <w:rFonts w:hint="eastAsia" w:ascii="宋体" w:hAnsi="宋体" w:cs="宋体"/>
          <w:color w:val="auto"/>
          <w:sz w:val="24"/>
          <w:szCs w:val="24"/>
          <w:u w:val="single"/>
        </w:rPr>
      </w:pPr>
      <w:r>
        <w:rPr>
          <w:rFonts w:hint="eastAsia" w:ascii="宋体" w:hAnsi="宋体" w:cs="宋体"/>
          <w:color w:val="auto"/>
          <w:sz w:val="24"/>
          <w:szCs w:val="24"/>
        </w:rPr>
        <w:t>本合同采购的具体内容：</w:t>
      </w:r>
      <w:r>
        <w:rPr>
          <w:rFonts w:hint="eastAsia" w:ascii="宋体" w:hAnsi="宋体" w:cs="宋体"/>
          <w:color w:val="auto"/>
          <w:sz w:val="24"/>
          <w:szCs w:val="24"/>
          <w:u w:val="single"/>
        </w:rPr>
        <w:t>为采购人提供</w:t>
      </w:r>
      <w:r>
        <w:rPr>
          <w:rFonts w:hint="eastAsia" w:ascii="宋体" w:hAnsi="宋体" w:cs="宋体"/>
          <w:color w:val="auto"/>
          <w:sz w:val="24"/>
          <w:szCs w:val="24"/>
          <w:u w:val="single"/>
          <w:lang w:val="en-US" w:eastAsia="zh-CN"/>
        </w:rPr>
        <w:t>7</w:t>
      </w:r>
      <w:r>
        <w:rPr>
          <w:rFonts w:hint="eastAsia" w:ascii="宋体" w:hAnsi="宋体" w:cs="宋体"/>
          <w:color w:val="auto"/>
          <w:sz w:val="24"/>
          <w:szCs w:val="24"/>
          <w:u w:val="single"/>
        </w:rPr>
        <w:t>艘</w:t>
      </w:r>
      <w:r>
        <w:rPr>
          <w:rFonts w:hint="eastAsia" w:ascii="宋体" w:hAnsi="宋体" w:cs="宋体"/>
          <w:color w:val="auto"/>
          <w:sz w:val="24"/>
          <w:szCs w:val="24"/>
          <w:u w:val="single"/>
          <w:lang w:val="en-US" w:eastAsia="zh-CN"/>
        </w:rPr>
        <w:t>古代</w:t>
      </w:r>
      <w:r>
        <w:rPr>
          <w:rFonts w:hint="eastAsia" w:ascii="宋体" w:hAnsi="宋体" w:cs="宋体"/>
          <w:color w:val="auto"/>
          <w:sz w:val="24"/>
          <w:szCs w:val="24"/>
          <w:u w:val="single"/>
        </w:rPr>
        <w:t>木帆船模型（详见附件</w:t>
      </w:r>
      <w:r>
        <w:rPr>
          <w:rFonts w:hint="eastAsia" w:ascii="宋体" w:hAnsi="宋体" w:cs="宋体"/>
          <w:color w:val="auto"/>
          <w:sz w:val="24"/>
          <w:szCs w:val="24"/>
          <w:u w:val="single"/>
          <w:lang w:eastAsia="zh-CN"/>
        </w:rPr>
        <w:t>：</w:t>
      </w:r>
      <w:r>
        <w:rPr>
          <w:rFonts w:hint="eastAsia" w:ascii="宋体" w:hAnsi="宋体" w:cs="宋体"/>
          <w:color w:val="auto"/>
          <w:sz w:val="24"/>
          <w:szCs w:val="24"/>
          <w:u w:val="single"/>
        </w:rPr>
        <w:t>《古代木帆船模型及参数要求》）。</w:t>
      </w:r>
    </w:p>
    <w:p w14:paraId="322E215F">
      <w:pPr>
        <w:snapToGrid w:val="0"/>
        <w:spacing w:line="360" w:lineRule="auto"/>
        <w:ind w:firstLine="480" w:firstLineChars="200"/>
        <w:rPr>
          <w:rFonts w:hint="eastAsia" w:ascii="宋体" w:hAnsi="宋体" w:cs="宋体"/>
          <w:color w:val="auto"/>
          <w:sz w:val="24"/>
          <w:szCs w:val="24"/>
          <w:u w:val="single"/>
        </w:rPr>
      </w:pPr>
      <w:r>
        <w:rPr>
          <w:rFonts w:hint="eastAsia" w:ascii="宋体" w:hAnsi="宋体" w:cs="宋体"/>
          <w:color w:val="auto"/>
          <w:sz w:val="24"/>
          <w:szCs w:val="24"/>
          <w:u w:val="single"/>
        </w:rPr>
        <w:t>货物的采购要求：</w:t>
      </w:r>
    </w:p>
    <w:p w14:paraId="5D4EEEA0">
      <w:pPr>
        <w:numPr>
          <w:ilvl w:val="0"/>
          <w:numId w:val="1"/>
        </w:num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按各古代木帆船原型，同比例缩小建造7艘船模，可用于博物馆展览及船型研究。具体船型及参数要求见附件《古代木帆船模型及参数要求》。</w:t>
      </w:r>
    </w:p>
    <w:p w14:paraId="2071307D">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lang w:val="en-US" w:eastAsia="zh-CN"/>
        </w:rPr>
        <w:t>（2）供应商承诺可合法取得本项目全部模型的原型船图纸，并保证我方在使用该货物或其任何一部分时不受第三方提出的侵犯专利权、著作权、商标权和工业设计权等的诉讼。</w:t>
      </w:r>
    </w:p>
    <w:p w14:paraId="7F17CABD">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w:t>
      </w:r>
      <w:r>
        <w:rPr>
          <w:rFonts w:hint="eastAsia" w:ascii="宋体" w:hAnsi="宋体" w:cs="宋体"/>
          <w:color w:val="auto"/>
          <w:sz w:val="24"/>
          <w:szCs w:val="24"/>
          <w:lang w:val="en-US" w:eastAsia="zh-CN"/>
        </w:rPr>
        <w:t>3</w:t>
      </w:r>
      <w:r>
        <w:rPr>
          <w:rFonts w:hint="eastAsia" w:ascii="宋体" w:hAnsi="宋体" w:cs="宋体"/>
          <w:color w:val="auto"/>
          <w:sz w:val="24"/>
          <w:szCs w:val="24"/>
        </w:rPr>
        <w:t>）中国古代船模建造规范应遵循《中式木帆船模型建造考证指南》，船型建造材料与工艺尽可能依据原型船，属具构件齐全，建成的船模仿真度高，外观显现原型船样貌，并能展现实船内、外结构，科学准确地展示古代木帆船的船壳搭接、船舱建造、甲板布设、风帆系统等建造工艺。外国古代船模需</w:t>
      </w:r>
      <w:r>
        <w:rPr>
          <w:rFonts w:hint="eastAsia" w:ascii="宋体" w:hAnsi="宋体" w:cs="宋体"/>
          <w:color w:val="auto"/>
          <w:sz w:val="24"/>
          <w:szCs w:val="24"/>
          <w:lang w:val="en-US" w:eastAsia="zh-CN"/>
        </w:rPr>
        <w:t>合法取得原型船图纸及制作授权，</w:t>
      </w:r>
      <w:r>
        <w:rPr>
          <w:rFonts w:hint="eastAsia" w:ascii="宋体" w:hAnsi="宋体" w:cs="宋体"/>
          <w:color w:val="auto"/>
          <w:sz w:val="24"/>
          <w:szCs w:val="24"/>
        </w:rPr>
        <w:t>还原其外观风貌，准确展现其外型特征，对甲板以下的不可见部分不做硬性要求。</w:t>
      </w:r>
    </w:p>
    <w:p w14:paraId="0FA4E9F7">
      <w:pPr>
        <w:snapToGrid w:val="0"/>
        <w:spacing w:line="360" w:lineRule="auto"/>
        <w:ind w:firstLine="480" w:firstLineChars="200"/>
        <w:rPr>
          <w:rFonts w:hint="default" w:ascii="宋体" w:hAnsi="宋体" w:eastAsia="宋体" w:cs="宋体"/>
          <w:color w:val="auto"/>
          <w:sz w:val="24"/>
          <w:szCs w:val="24"/>
          <w:lang w:val="en-US" w:eastAsia="zh-CN"/>
        </w:rPr>
      </w:pPr>
      <w:r>
        <w:rPr>
          <w:rFonts w:hint="eastAsia" w:ascii="宋体" w:hAnsi="宋体" w:cs="宋体"/>
          <w:color w:val="auto"/>
          <w:sz w:val="24"/>
          <w:szCs w:val="24"/>
        </w:rPr>
        <w:t>（</w:t>
      </w:r>
      <w:r>
        <w:rPr>
          <w:rFonts w:hint="eastAsia" w:ascii="宋体" w:hAnsi="宋体" w:cs="宋体"/>
          <w:color w:val="auto"/>
          <w:sz w:val="24"/>
          <w:szCs w:val="24"/>
          <w:lang w:val="en-US" w:eastAsia="zh-CN"/>
        </w:rPr>
        <w:t>4</w:t>
      </w:r>
      <w:r>
        <w:rPr>
          <w:rFonts w:hint="eastAsia" w:ascii="宋体" w:hAnsi="宋体" w:cs="宋体"/>
          <w:color w:val="auto"/>
          <w:sz w:val="24"/>
          <w:szCs w:val="24"/>
        </w:rPr>
        <w:t>）制作模型所参考的原型船，应在历史上真实存在，有图片或资料佐证。</w:t>
      </w:r>
      <w:r>
        <w:rPr>
          <w:rFonts w:hint="eastAsia" w:ascii="宋体" w:hAnsi="宋体" w:cs="宋体"/>
          <w:color w:val="auto"/>
          <w:sz w:val="24"/>
          <w:szCs w:val="24"/>
          <w:lang w:val="en-US" w:eastAsia="zh-CN"/>
        </w:rPr>
        <w:t>供应商须依照准确可靠的原型船测绘图纸，参考历史文献及考古发掘材料，自主制作复原设计图纸并制作模型。禁止在未取得第三方权利人授权许可的情况下，使用第三方权属图纸资料进行模型生产。</w:t>
      </w:r>
    </w:p>
    <w:p w14:paraId="02FF1DD3">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w:t>
      </w:r>
      <w:r>
        <w:rPr>
          <w:rFonts w:hint="eastAsia" w:ascii="宋体" w:hAnsi="宋体" w:cs="宋体"/>
          <w:color w:val="auto"/>
          <w:sz w:val="24"/>
          <w:szCs w:val="24"/>
          <w:lang w:val="en-US" w:eastAsia="zh-CN"/>
        </w:rPr>
        <w:t>5</w:t>
      </w:r>
      <w:r>
        <w:rPr>
          <w:rFonts w:hint="eastAsia" w:ascii="宋体" w:hAnsi="宋体" w:cs="宋体"/>
          <w:color w:val="auto"/>
          <w:sz w:val="24"/>
          <w:szCs w:val="24"/>
        </w:rPr>
        <w:t>）供应商最终交付时应提供原型船背景资料、图纸资料（含原</w:t>
      </w:r>
      <w:r>
        <w:rPr>
          <w:rFonts w:hint="eastAsia" w:ascii="宋体" w:hAnsi="宋体" w:cs="宋体"/>
          <w:color w:val="auto"/>
          <w:sz w:val="24"/>
          <w:szCs w:val="24"/>
          <w:lang w:val="en-US" w:eastAsia="zh-CN"/>
        </w:rPr>
        <w:t>型</w:t>
      </w:r>
      <w:r>
        <w:rPr>
          <w:rFonts w:hint="eastAsia" w:ascii="宋体" w:hAnsi="宋体" w:cs="宋体"/>
          <w:color w:val="auto"/>
          <w:sz w:val="24"/>
          <w:szCs w:val="24"/>
        </w:rPr>
        <w:t>船测绘图纸和船型线图等</w:t>
      </w:r>
      <w:r>
        <w:rPr>
          <w:rFonts w:hint="eastAsia" w:ascii="宋体" w:hAnsi="宋体" w:cs="宋体"/>
          <w:color w:val="auto"/>
          <w:sz w:val="24"/>
          <w:szCs w:val="24"/>
          <w:lang w:val="en-US" w:eastAsia="zh-CN"/>
        </w:rPr>
        <w:t>复原</w:t>
      </w:r>
      <w:r>
        <w:rPr>
          <w:rFonts w:hint="eastAsia" w:ascii="宋体" w:hAnsi="宋体" w:cs="宋体"/>
          <w:color w:val="auto"/>
          <w:sz w:val="24"/>
          <w:szCs w:val="24"/>
        </w:rPr>
        <w:t>设计图纸）</w:t>
      </w:r>
      <w:r>
        <w:rPr>
          <w:rFonts w:hint="eastAsia" w:ascii="宋体" w:hAnsi="宋体" w:cs="宋体"/>
          <w:color w:val="auto"/>
          <w:sz w:val="24"/>
          <w:szCs w:val="24"/>
          <w:lang w:eastAsia="zh-CN"/>
        </w:rPr>
        <w:t>、</w:t>
      </w:r>
      <w:r>
        <w:rPr>
          <w:rFonts w:hint="eastAsia" w:ascii="宋体" w:hAnsi="宋体" w:cs="宋体"/>
          <w:color w:val="auto"/>
          <w:sz w:val="24"/>
          <w:szCs w:val="24"/>
        </w:rPr>
        <w:t>关键制作过程的影像资料，以及船模主材、帆装、涂装、彩绘、属具等内容说明。</w:t>
      </w:r>
    </w:p>
    <w:p w14:paraId="342BE955">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w:t>
      </w:r>
      <w:r>
        <w:rPr>
          <w:rFonts w:hint="eastAsia" w:ascii="宋体" w:hAnsi="宋体" w:cs="宋体"/>
          <w:color w:val="auto"/>
          <w:sz w:val="24"/>
          <w:szCs w:val="24"/>
          <w:lang w:val="en-US" w:eastAsia="zh-CN"/>
        </w:rPr>
        <w:t>6</w:t>
      </w:r>
      <w:r>
        <w:rPr>
          <w:rFonts w:hint="eastAsia" w:ascii="宋体" w:hAnsi="宋体" w:cs="宋体"/>
          <w:color w:val="auto"/>
          <w:sz w:val="24"/>
          <w:szCs w:val="24"/>
        </w:rPr>
        <w:t>）供应商为船模建造方，不得再转第三方承建。</w:t>
      </w:r>
    </w:p>
    <w:p w14:paraId="60DD9117">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w:t>
      </w:r>
      <w:r>
        <w:rPr>
          <w:rFonts w:hint="eastAsia" w:ascii="宋体" w:hAnsi="宋体" w:cs="宋体"/>
          <w:color w:val="auto"/>
          <w:sz w:val="24"/>
          <w:szCs w:val="24"/>
          <w:lang w:val="en-US" w:eastAsia="zh-CN"/>
        </w:rPr>
        <w:t>7</w:t>
      </w:r>
      <w:r>
        <w:rPr>
          <w:rFonts w:hint="eastAsia" w:ascii="宋体" w:hAnsi="宋体" w:cs="宋体"/>
          <w:color w:val="auto"/>
          <w:sz w:val="24"/>
          <w:szCs w:val="24"/>
        </w:rPr>
        <w:t>）价格包括：包干方式，含船模建造</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运输及调试等</w:t>
      </w:r>
      <w:r>
        <w:rPr>
          <w:rFonts w:hint="eastAsia" w:ascii="宋体" w:hAnsi="宋体" w:cs="宋体"/>
          <w:color w:val="auto"/>
          <w:sz w:val="24"/>
          <w:szCs w:val="24"/>
        </w:rPr>
        <w:t>所有费用（包括人工费、材料费、</w:t>
      </w:r>
      <w:r>
        <w:rPr>
          <w:rFonts w:hint="eastAsia" w:ascii="宋体" w:hAnsi="宋体" w:cs="宋体"/>
          <w:color w:val="auto"/>
          <w:sz w:val="24"/>
          <w:szCs w:val="24"/>
          <w:lang w:val="en-US" w:eastAsia="zh-CN"/>
        </w:rPr>
        <w:t>运费、包装费、</w:t>
      </w:r>
      <w:r>
        <w:rPr>
          <w:rFonts w:hint="eastAsia" w:ascii="宋体" w:hAnsi="宋体" w:cs="宋体"/>
          <w:color w:val="auto"/>
          <w:sz w:val="24"/>
          <w:szCs w:val="24"/>
        </w:rPr>
        <w:t>税费</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差旅费</w:t>
      </w:r>
      <w:r>
        <w:rPr>
          <w:rFonts w:hint="eastAsia" w:ascii="宋体" w:hAnsi="宋体" w:cs="宋体"/>
          <w:color w:val="auto"/>
          <w:sz w:val="24"/>
          <w:szCs w:val="24"/>
        </w:rPr>
        <w:t>及意外损失等）。</w:t>
      </w:r>
    </w:p>
    <w:p w14:paraId="4FA0DB72">
      <w:pPr>
        <w:snapToGrid w:val="0"/>
        <w:spacing w:line="360" w:lineRule="auto"/>
        <w:ind w:firstLine="482" w:firstLineChars="200"/>
        <w:rPr>
          <w:rFonts w:hint="eastAsia" w:ascii="宋体" w:hAnsi="宋体" w:cs="宋体"/>
          <w:color w:val="auto"/>
          <w:sz w:val="24"/>
          <w:szCs w:val="24"/>
        </w:rPr>
      </w:pPr>
      <w:r>
        <w:rPr>
          <w:rFonts w:hint="eastAsia" w:ascii="宋体" w:hAnsi="宋体" w:cs="宋体"/>
          <w:b/>
          <w:color w:val="auto"/>
          <w:sz w:val="24"/>
          <w:szCs w:val="24"/>
        </w:rPr>
        <w:t>3. 合同价款</w:t>
      </w:r>
    </w:p>
    <w:p w14:paraId="1D318A91">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本合同</w:t>
      </w:r>
      <w:r>
        <w:rPr>
          <w:rFonts w:hint="eastAsia" w:ascii="宋体" w:hAnsi="宋体" w:cs="宋体"/>
          <w:color w:val="auto"/>
          <w:sz w:val="24"/>
          <w:szCs w:val="24"/>
          <w:u w:val="single"/>
        </w:rPr>
        <w:t>总价</w:t>
      </w:r>
      <w:r>
        <w:rPr>
          <w:rFonts w:hint="eastAsia" w:ascii="宋体" w:hAnsi="宋体" w:cs="宋体"/>
          <w:color w:val="auto"/>
          <w:sz w:val="24"/>
          <w:szCs w:val="24"/>
        </w:rPr>
        <w:t>为大写人民币</w:t>
      </w:r>
      <w:r>
        <w:rPr>
          <w:rFonts w:hint="eastAsia" w:ascii="宋体" w:hAnsi="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rPr>
        <w:t>元整（￥</w:t>
      </w:r>
      <w:r>
        <w:rPr>
          <w:rFonts w:hint="eastAsia" w:ascii="宋体" w:hAnsi="宋体" w:cs="宋体"/>
          <w:color w:val="auto"/>
          <w:sz w:val="24"/>
          <w:szCs w:val="24"/>
          <w:u w:val="single"/>
        </w:rPr>
        <w:t xml:space="preserve"> </w:t>
      </w:r>
      <w:r>
        <w:rPr>
          <w:rFonts w:hint="eastAsia" w:ascii="宋体" w:hAnsi="宋体" w:cs="宋体"/>
          <w:color w:val="auto"/>
          <w:sz w:val="24"/>
          <w:szCs w:val="24"/>
        </w:rPr>
        <w:t>元）。</w:t>
      </w:r>
    </w:p>
    <w:p w14:paraId="38F10020">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 xml:space="preserve">分项价格：  </w:t>
      </w:r>
    </w:p>
    <w:tbl>
      <w:tblPr>
        <w:tblStyle w:val="12"/>
        <w:tblW w:w="40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2"/>
        <w:gridCol w:w="934"/>
        <w:gridCol w:w="881"/>
        <w:gridCol w:w="595"/>
        <w:gridCol w:w="745"/>
        <w:gridCol w:w="1004"/>
        <w:gridCol w:w="703"/>
        <w:gridCol w:w="1582"/>
      </w:tblGrid>
      <w:tr w14:paraId="40EA0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37005D56">
            <w:pPr>
              <w:jc w:val="center"/>
              <w:rPr>
                <w:rFonts w:hint="eastAsia" w:ascii="宋体" w:hAnsi="宋体" w:cs="宋体"/>
                <w:b/>
                <w:color w:val="auto"/>
                <w:szCs w:val="21"/>
              </w:rPr>
            </w:pPr>
            <w:r>
              <w:rPr>
                <w:rFonts w:hint="eastAsia" w:ascii="宋体" w:hAnsi="宋体" w:cs="宋体"/>
                <w:b/>
                <w:color w:val="auto"/>
                <w:szCs w:val="21"/>
              </w:rPr>
              <w:t>序号</w:t>
            </w:r>
          </w:p>
        </w:tc>
        <w:tc>
          <w:tcPr>
            <w:tcW w:w="669" w:type="pct"/>
            <w:tcBorders>
              <w:top w:val="single" w:color="auto" w:sz="4" w:space="0"/>
              <w:left w:val="single" w:color="auto" w:sz="4" w:space="0"/>
              <w:bottom w:val="single" w:color="auto" w:sz="4" w:space="0"/>
              <w:right w:val="single" w:color="auto" w:sz="4" w:space="0"/>
            </w:tcBorders>
            <w:shd w:val="clear" w:color="auto" w:fill="auto"/>
            <w:vAlign w:val="center"/>
          </w:tcPr>
          <w:p w14:paraId="706BBE51">
            <w:pPr>
              <w:jc w:val="center"/>
              <w:rPr>
                <w:rFonts w:hint="eastAsia" w:ascii="宋体" w:hAnsi="宋体" w:cs="宋体"/>
                <w:b/>
                <w:color w:val="auto"/>
                <w:szCs w:val="21"/>
              </w:rPr>
            </w:pPr>
            <w:r>
              <w:rPr>
                <w:rFonts w:hint="eastAsia" w:ascii="宋体" w:hAnsi="宋体" w:cs="宋体"/>
                <w:b/>
                <w:color w:val="auto"/>
                <w:szCs w:val="21"/>
              </w:rPr>
              <w:t>报价内容</w:t>
            </w:r>
          </w:p>
        </w:tc>
        <w:tc>
          <w:tcPr>
            <w:tcW w:w="631" w:type="pct"/>
            <w:tcBorders>
              <w:top w:val="single" w:color="auto" w:sz="4" w:space="0"/>
              <w:left w:val="single" w:color="auto" w:sz="4" w:space="0"/>
              <w:bottom w:val="single" w:color="auto" w:sz="4" w:space="0"/>
              <w:right w:val="single" w:color="auto" w:sz="4" w:space="0"/>
            </w:tcBorders>
            <w:shd w:val="clear" w:color="auto" w:fill="auto"/>
            <w:vAlign w:val="center"/>
          </w:tcPr>
          <w:p w14:paraId="7475C5EF">
            <w:pPr>
              <w:jc w:val="center"/>
              <w:rPr>
                <w:rFonts w:hint="eastAsia" w:ascii="宋体" w:hAnsi="宋体" w:cs="宋体"/>
                <w:b/>
                <w:color w:val="auto"/>
                <w:szCs w:val="21"/>
              </w:rPr>
            </w:pPr>
            <w:r>
              <w:rPr>
                <w:rFonts w:hint="eastAsia" w:ascii="宋体" w:hAnsi="宋体" w:cs="宋体"/>
                <w:b/>
                <w:color w:val="auto"/>
                <w:szCs w:val="21"/>
              </w:rPr>
              <w:t>制造商名称</w:t>
            </w:r>
          </w:p>
        </w:tc>
        <w:tc>
          <w:tcPr>
            <w:tcW w:w="426" w:type="pct"/>
            <w:tcBorders>
              <w:top w:val="single" w:color="auto" w:sz="4" w:space="0"/>
              <w:left w:val="single" w:color="auto" w:sz="4" w:space="0"/>
              <w:bottom w:val="single" w:color="auto" w:sz="4" w:space="0"/>
              <w:right w:val="single" w:color="auto" w:sz="4" w:space="0"/>
            </w:tcBorders>
            <w:shd w:val="clear" w:color="auto" w:fill="auto"/>
            <w:vAlign w:val="center"/>
          </w:tcPr>
          <w:p w14:paraId="7F6209A8">
            <w:pPr>
              <w:jc w:val="center"/>
              <w:rPr>
                <w:rFonts w:hint="eastAsia" w:ascii="宋体" w:hAnsi="宋体" w:cs="宋体"/>
                <w:b/>
                <w:color w:val="auto"/>
                <w:szCs w:val="21"/>
              </w:rPr>
            </w:pPr>
            <w:r>
              <w:rPr>
                <w:rFonts w:hint="eastAsia" w:ascii="宋体" w:hAnsi="宋体" w:cs="宋体"/>
                <w:b/>
                <w:color w:val="auto"/>
                <w:szCs w:val="21"/>
              </w:rPr>
              <w:t>产地</w:t>
            </w:r>
          </w:p>
        </w:tc>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14:paraId="4D4CE3CC">
            <w:pPr>
              <w:jc w:val="center"/>
              <w:rPr>
                <w:rFonts w:hint="eastAsia" w:ascii="宋体" w:hAnsi="宋体" w:cs="宋体"/>
                <w:b/>
                <w:color w:val="auto"/>
                <w:szCs w:val="21"/>
              </w:rPr>
            </w:pPr>
            <w:r>
              <w:rPr>
                <w:rFonts w:hint="eastAsia" w:ascii="宋体" w:hAnsi="宋体" w:cs="宋体"/>
                <w:b/>
                <w:color w:val="auto"/>
                <w:szCs w:val="21"/>
              </w:rPr>
              <w:t>数量</w:t>
            </w:r>
          </w:p>
          <w:p w14:paraId="5E27BB26">
            <w:pPr>
              <w:jc w:val="both"/>
              <w:rPr>
                <w:rFonts w:hint="default" w:ascii="宋体" w:hAnsi="宋体" w:eastAsia="宋体" w:cs="宋体"/>
                <w:b/>
                <w:color w:val="auto"/>
                <w:szCs w:val="21"/>
                <w:lang w:val="en-US" w:eastAsia="zh-CN"/>
              </w:rPr>
            </w:pPr>
            <w:r>
              <w:rPr>
                <w:rFonts w:hint="eastAsia" w:ascii="宋体" w:hAnsi="宋体" w:cs="宋体"/>
                <w:b/>
                <w:color w:val="auto"/>
                <w:szCs w:val="21"/>
                <w:lang w:eastAsia="zh-CN"/>
              </w:rPr>
              <w:t>（</w:t>
            </w:r>
            <w:r>
              <w:rPr>
                <w:rFonts w:hint="eastAsia" w:ascii="宋体" w:hAnsi="宋体" w:cs="宋体"/>
                <w:b/>
                <w:color w:val="auto"/>
                <w:szCs w:val="21"/>
                <w:lang w:val="en-US" w:eastAsia="zh-CN"/>
              </w:rPr>
              <w:t>艘）</w:t>
            </w:r>
          </w:p>
        </w:tc>
        <w:tc>
          <w:tcPr>
            <w:tcW w:w="719" w:type="pct"/>
            <w:tcBorders>
              <w:top w:val="single" w:color="auto" w:sz="4" w:space="0"/>
              <w:left w:val="single" w:color="auto" w:sz="4" w:space="0"/>
              <w:bottom w:val="single" w:color="auto" w:sz="4" w:space="0"/>
              <w:right w:val="single" w:color="auto" w:sz="4" w:space="0"/>
            </w:tcBorders>
            <w:shd w:val="clear" w:color="auto" w:fill="auto"/>
            <w:vAlign w:val="center"/>
          </w:tcPr>
          <w:p w14:paraId="10C896D4">
            <w:pPr>
              <w:jc w:val="center"/>
              <w:rPr>
                <w:rFonts w:hint="eastAsia" w:ascii="宋体" w:hAnsi="宋体" w:cs="宋体"/>
                <w:b/>
                <w:color w:val="auto"/>
                <w:szCs w:val="21"/>
              </w:rPr>
            </w:pPr>
            <w:r>
              <w:rPr>
                <w:rFonts w:hint="eastAsia" w:ascii="宋体" w:hAnsi="宋体" w:cs="宋体"/>
                <w:b/>
                <w:color w:val="auto"/>
                <w:szCs w:val="21"/>
              </w:rPr>
              <w:t>单价</w:t>
            </w:r>
          </w:p>
          <w:p w14:paraId="058FAA7D">
            <w:pPr>
              <w:jc w:val="center"/>
              <w:rPr>
                <w:rFonts w:hint="default" w:ascii="宋体" w:hAnsi="宋体" w:eastAsia="宋体" w:cs="宋体"/>
                <w:b/>
                <w:color w:val="auto"/>
                <w:szCs w:val="21"/>
                <w:lang w:val="en-US" w:eastAsia="zh-CN"/>
              </w:rPr>
            </w:pPr>
            <w:r>
              <w:rPr>
                <w:rFonts w:hint="eastAsia" w:ascii="宋体" w:hAnsi="宋体" w:cs="宋体"/>
                <w:b/>
                <w:color w:val="auto"/>
                <w:szCs w:val="21"/>
                <w:lang w:eastAsia="zh-CN"/>
              </w:rPr>
              <w:t>（</w:t>
            </w:r>
            <w:r>
              <w:rPr>
                <w:rFonts w:hint="eastAsia" w:ascii="宋体" w:hAnsi="宋体" w:cs="宋体"/>
                <w:b/>
                <w:color w:val="auto"/>
                <w:szCs w:val="21"/>
                <w:lang w:val="en-US" w:eastAsia="zh-CN"/>
              </w:rPr>
              <w:t>万元）</w:t>
            </w:r>
          </w:p>
        </w:tc>
        <w:tc>
          <w:tcPr>
            <w:tcW w:w="503" w:type="pct"/>
            <w:tcBorders>
              <w:top w:val="single" w:color="auto" w:sz="4" w:space="0"/>
              <w:left w:val="single" w:color="auto" w:sz="4" w:space="0"/>
              <w:bottom w:val="single" w:color="auto" w:sz="4" w:space="0"/>
              <w:right w:val="single" w:color="auto" w:sz="4" w:space="0"/>
            </w:tcBorders>
            <w:shd w:val="clear" w:color="auto" w:fill="auto"/>
            <w:vAlign w:val="center"/>
          </w:tcPr>
          <w:p w14:paraId="388CD5D8">
            <w:pPr>
              <w:jc w:val="center"/>
              <w:rPr>
                <w:rFonts w:hint="eastAsia" w:ascii="宋体" w:hAnsi="宋体" w:cs="宋体"/>
                <w:b/>
                <w:color w:val="auto"/>
                <w:szCs w:val="21"/>
              </w:rPr>
            </w:pPr>
            <w:r>
              <w:rPr>
                <w:rFonts w:hint="eastAsia" w:ascii="宋体" w:hAnsi="宋体" w:cs="宋体"/>
                <w:b/>
                <w:color w:val="auto"/>
                <w:szCs w:val="21"/>
              </w:rPr>
              <w:t>小计</w:t>
            </w:r>
          </w:p>
        </w:tc>
        <w:tc>
          <w:tcPr>
            <w:tcW w:w="1133" w:type="pct"/>
            <w:tcBorders>
              <w:top w:val="single" w:color="auto" w:sz="4" w:space="0"/>
              <w:left w:val="single" w:color="auto" w:sz="4" w:space="0"/>
              <w:bottom w:val="single" w:color="auto" w:sz="4" w:space="0"/>
              <w:right w:val="single" w:color="auto" w:sz="4" w:space="0"/>
            </w:tcBorders>
            <w:shd w:val="clear" w:color="auto" w:fill="auto"/>
            <w:vAlign w:val="center"/>
          </w:tcPr>
          <w:p w14:paraId="3C91D0BB">
            <w:pPr>
              <w:jc w:val="center"/>
              <w:rPr>
                <w:rFonts w:hint="eastAsia" w:ascii="宋体" w:hAnsi="宋体" w:cs="宋体"/>
                <w:b/>
                <w:color w:val="auto"/>
                <w:szCs w:val="21"/>
              </w:rPr>
            </w:pPr>
            <w:r>
              <w:rPr>
                <w:rFonts w:hint="eastAsia" w:ascii="宋体" w:hAnsi="宋体" w:cs="宋体"/>
                <w:b/>
                <w:color w:val="auto"/>
                <w:szCs w:val="21"/>
              </w:rPr>
              <w:t>交货时间</w:t>
            </w:r>
          </w:p>
        </w:tc>
      </w:tr>
      <w:tr w14:paraId="00421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4ECDFB67">
            <w:pPr>
              <w:jc w:val="center"/>
              <w:rPr>
                <w:rFonts w:hint="eastAsia" w:ascii="宋体" w:hAnsi="宋体" w:cs="宋体"/>
                <w:color w:val="auto"/>
                <w:szCs w:val="21"/>
              </w:rPr>
            </w:pPr>
            <w:r>
              <w:rPr>
                <w:rFonts w:hint="eastAsia" w:ascii="宋体" w:hAnsi="宋体" w:cs="宋体"/>
                <w:color w:val="auto"/>
                <w:szCs w:val="21"/>
              </w:rPr>
              <w:t>1</w:t>
            </w:r>
          </w:p>
        </w:tc>
        <w:tc>
          <w:tcPr>
            <w:tcW w:w="669" w:type="pct"/>
            <w:tcBorders>
              <w:top w:val="single" w:color="auto" w:sz="4" w:space="0"/>
              <w:left w:val="single" w:color="auto" w:sz="4" w:space="0"/>
              <w:bottom w:val="single" w:color="auto" w:sz="4" w:space="0"/>
              <w:right w:val="single" w:color="auto" w:sz="4" w:space="0"/>
            </w:tcBorders>
            <w:shd w:val="clear" w:color="auto" w:fill="auto"/>
            <w:vAlign w:val="center"/>
          </w:tcPr>
          <w:p w14:paraId="7F32891F">
            <w:pPr>
              <w:spacing w:line="360" w:lineRule="auto"/>
              <w:jc w:val="center"/>
              <w:rPr>
                <w:rFonts w:hint="eastAsia" w:ascii="宋体" w:hAnsi="宋体" w:cs="宋体"/>
                <w:color w:val="auto"/>
                <w:szCs w:val="21"/>
              </w:rPr>
            </w:pPr>
            <w:r>
              <w:rPr>
                <w:rFonts w:hint="eastAsia" w:ascii="宋体" w:hAnsi="宋体" w:cs="宋体"/>
                <w:color w:val="auto"/>
                <w:szCs w:val="21"/>
              </w:rPr>
              <w:t>大型广船模型</w:t>
            </w:r>
          </w:p>
        </w:tc>
        <w:tc>
          <w:tcPr>
            <w:tcW w:w="631" w:type="pct"/>
            <w:tcBorders>
              <w:top w:val="single" w:color="auto" w:sz="4" w:space="0"/>
              <w:left w:val="single" w:color="auto" w:sz="4" w:space="0"/>
              <w:bottom w:val="single" w:color="auto" w:sz="4" w:space="0"/>
              <w:right w:val="single" w:color="auto" w:sz="4" w:space="0"/>
            </w:tcBorders>
            <w:shd w:val="clear" w:color="auto" w:fill="auto"/>
            <w:vAlign w:val="center"/>
          </w:tcPr>
          <w:p w14:paraId="1FDF6336">
            <w:pPr>
              <w:spacing w:line="360" w:lineRule="auto"/>
              <w:jc w:val="center"/>
              <w:rPr>
                <w:rFonts w:hint="eastAsia" w:ascii="宋体" w:hAnsi="宋体" w:cs="宋体"/>
                <w:color w:val="auto"/>
                <w:szCs w:val="21"/>
              </w:rPr>
            </w:pPr>
          </w:p>
        </w:tc>
        <w:tc>
          <w:tcPr>
            <w:tcW w:w="426" w:type="pct"/>
            <w:tcBorders>
              <w:top w:val="single" w:color="auto" w:sz="4" w:space="0"/>
              <w:left w:val="single" w:color="auto" w:sz="4" w:space="0"/>
              <w:bottom w:val="single" w:color="auto" w:sz="4" w:space="0"/>
              <w:right w:val="single" w:color="auto" w:sz="4" w:space="0"/>
            </w:tcBorders>
            <w:shd w:val="clear" w:color="auto" w:fill="auto"/>
            <w:vAlign w:val="center"/>
          </w:tcPr>
          <w:p w14:paraId="579EC8EC">
            <w:pPr>
              <w:spacing w:line="360" w:lineRule="auto"/>
              <w:jc w:val="center"/>
              <w:rPr>
                <w:rFonts w:hint="eastAsia" w:ascii="宋体" w:hAnsi="宋体" w:cs="宋体"/>
                <w:color w:val="auto"/>
                <w:szCs w:val="21"/>
              </w:rPr>
            </w:pPr>
          </w:p>
        </w:tc>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14:paraId="106F9101">
            <w:pPr>
              <w:jc w:val="center"/>
              <w:rPr>
                <w:rFonts w:hint="eastAsia" w:ascii="宋体" w:hAnsi="宋体" w:cs="宋体"/>
                <w:color w:val="auto"/>
                <w:szCs w:val="21"/>
              </w:rPr>
            </w:pPr>
            <w:r>
              <w:rPr>
                <w:rFonts w:hint="eastAsia" w:ascii="宋体" w:hAnsi="宋体" w:cs="宋体"/>
                <w:color w:val="auto"/>
                <w:szCs w:val="21"/>
              </w:rPr>
              <w:t>1</w:t>
            </w:r>
          </w:p>
        </w:tc>
        <w:tc>
          <w:tcPr>
            <w:tcW w:w="719" w:type="pct"/>
            <w:tcBorders>
              <w:top w:val="single" w:color="auto" w:sz="4" w:space="0"/>
              <w:left w:val="single" w:color="auto" w:sz="4" w:space="0"/>
              <w:bottom w:val="single" w:color="auto" w:sz="4" w:space="0"/>
              <w:right w:val="single" w:color="auto" w:sz="4" w:space="0"/>
            </w:tcBorders>
            <w:shd w:val="clear" w:color="auto" w:fill="auto"/>
            <w:vAlign w:val="center"/>
          </w:tcPr>
          <w:p w14:paraId="0935FEE9">
            <w:pPr>
              <w:spacing w:line="360" w:lineRule="auto"/>
              <w:jc w:val="center"/>
              <w:rPr>
                <w:rFonts w:hint="eastAsia" w:ascii="宋体" w:hAnsi="宋体" w:eastAsia="宋体" w:cs="宋体"/>
                <w:color w:val="auto"/>
                <w:szCs w:val="21"/>
                <w:lang w:val="en-US" w:eastAsia="zh-CN"/>
              </w:rPr>
            </w:pPr>
          </w:p>
        </w:tc>
        <w:tc>
          <w:tcPr>
            <w:tcW w:w="503" w:type="pct"/>
            <w:tcBorders>
              <w:top w:val="single" w:color="auto" w:sz="4" w:space="0"/>
              <w:left w:val="single" w:color="auto" w:sz="4" w:space="0"/>
              <w:bottom w:val="single" w:color="auto" w:sz="4" w:space="0"/>
              <w:right w:val="single" w:color="auto" w:sz="4" w:space="0"/>
            </w:tcBorders>
            <w:shd w:val="clear" w:color="auto" w:fill="auto"/>
            <w:vAlign w:val="center"/>
          </w:tcPr>
          <w:p w14:paraId="03EDCC80">
            <w:pPr>
              <w:spacing w:line="360" w:lineRule="auto"/>
              <w:jc w:val="center"/>
              <w:rPr>
                <w:rFonts w:hint="eastAsia" w:ascii="宋体" w:hAnsi="宋体" w:eastAsia="宋体" w:cs="宋体"/>
                <w:color w:val="auto"/>
                <w:szCs w:val="21"/>
                <w:lang w:val="en-US" w:eastAsia="zh-CN"/>
              </w:rPr>
            </w:pPr>
          </w:p>
        </w:tc>
        <w:tc>
          <w:tcPr>
            <w:tcW w:w="1133" w:type="pct"/>
            <w:tcBorders>
              <w:top w:val="single" w:color="auto" w:sz="4" w:space="0"/>
              <w:left w:val="single" w:color="auto" w:sz="4" w:space="0"/>
              <w:bottom w:val="single" w:color="auto" w:sz="4" w:space="0"/>
              <w:right w:val="single" w:color="auto" w:sz="4" w:space="0"/>
            </w:tcBorders>
            <w:shd w:val="clear" w:color="auto" w:fill="auto"/>
            <w:vAlign w:val="center"/>
          </w:tcPr>
          <w:p w14:paraId="1B7F33C3">
            <w:pPr>
              <w:spacing w:line="360" w:lineRule="auto"/>
              <w:jc w:val="center"/>
              <w:rPr>
                <w:rFonts w:hint="eastAsia" w:ascii="宋体" w:hAnsi="宋体" w:cs="宋体"/>
                <w:color w:val="auto"/>
                <w:szCs w:val="21"/>
              </w:rPr>
            </w:pPr>
            <w:r>
              <w:rPr>
                <w:rFonts w:hint="eastAsia" w:ascii="宋体" w:hAnsi="宋体" w:cs="宋体"/>
                <w:color w:val="auto"/>
                <w:szCs w:val="21"/>
              </w:rPr>
              <w:t>202</w:t>
            </w:r>
            <w:r>
              <w:rPr>
                <w:rFonts w:hint="eastAsia" w:ascii="宋体" w:hAnsi="宋体" w:cs="宋体"/>
                <w:color w:val="auto"/>
                <w:szCs w:val="21"/>
                <w:lang w:val="en-US" w:eastAsia="zh-CN"/>
              </w:rPr>
              <w:t>7</w:t>
            </w:r>
            <w:r>
              <w:rPr>
                <w:rFonts w:hint="eastAsia" w:ascii="宋体" w:hAnsi="宋体" w:cs="宋体"/>
                <w:color w:val="auto"/>
                <w:szCs w:val="21"/>
              </w:rPr>
              <w:t>.</w:t>
            </w:r>
            <w:r>
              <w:rPr>
                <w:rFonts w:hint="eastAsia" w:ascii="宋体" w:hAnsi="宋体" w:cs="宋体"/>
                <w:color w:val="auto"/>
                <w:szCs w:val="21"/>
                <w:lang w:val="en-US" w:eastAsia="zh-CN"/>
              </w:rPr>
              <w:t>10.30</w:t>
            </w:r>
            <w:r>
              <w:rPr>
                <w:rFonts w:hint="eastAsia" w:ascii="宋体" w:hAnsi="宋体" w:cs="宋体"/>
                <w:color w:val="auto"/>
                <w:szCs w:val="21"/>
              </w:rPr>
              <w:t>之前</w:t>
            </w:r>
          </w:p>
        </w:tc>
      </w:tr>
      <w:tr w14:paraId="0C823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06D74CAE">
            <w:pPr>
              <w:jc w:val="center"/>
              <w:rPr>
                <w:rFonts w:hint="eastAsia" w:ascii="宋体" w:hAnsi="宋体" w:cs="宋体"/>
                <w:color w:val="auto"/>
                <w:szCs w:val="21"/>
              </w:rPr>
            </w:pPr>
            <w:r>
              <w:rPr>
                <w:rFonts w:hint="eastAsia" w:ascii="宋体" w:hAnsi="宋体" w:cs="宋体"/>
                <w:color w:val="auto"/>
                <w:szCs w:val="21"/>
              </w:rPr>
              <w:t>2</w:t>
            </w:r>
          </w:p>
        </w:tc>
        <w:tc>
          <w:tcPr>
            <w:tcW w:w="669" w:type="pct"/>
            <w:tcBorders>
              <w:top w:val="single" w:color="auto" w:sz="4" w:space="0"/>
              <w:left w:val="single" w:color="auto" w:sz="4" w:space="0"/>
              <w:bottom w:val="single" w:color="auto" w:sz="4" w:space="0"/>
              <w:right w:val="single" w:color="auto" w:sz="4" w:space="0"/>
            </w:tcBorders>
            <w:shd w:val="clear" w:color="auto" w:fill="auto"/>
            <w:vAlign w:val="center"/>
          </w:tcPr>
          <w:p w14:paraId="7D851CC7">
            <w:pPr>
              <w:spacing w:line="360" w:lineRule="auto"/>
              <w:jc w:val="center"/>
              <w:rPr>
                <w:rFonts w:hint="eastAsia" w:ascii="宋体" w:hAnsi="宋体" w:cs="宋体"/>
                <w:color w:val="auto"/>
                <w:szCs w:val="21"/>
              </w:rPr>
            </w:pPr>
            <w:r>
              <w:rPr>
                <w:rFonts w:hint="eastAsia" w:ascii="宋体" w:hAnsi="宋体" w:cs="宋体"/>
                <w:color w:val="auto"/>
                <w:szCs w:val="21"/>
                <w:lang w:val="en-US" w:eastAsia="zh-CN"/>
              </w:rPr>
              <w:t>中</w:t>
            </w:r>
            <w:r>
              <w:rPr>
                <w:rFonts w:hint="eastAsia" w:ascii="宋体" w:hAnsi="宋体" w:cs="宋体"/>
                <w:color w:val="auto"/>
                <w:szCs w:val="21"/>
              </w:rPr>
              <w:t>型广船模型</w:t>
            </w:r>
          </w:p>
        </w:tc>
        <w:tc>
          <w:tcPr>
            <w:tcW w:w="631" w:type="pct"/>
            <w:tcBorders>
              <w:top w:val="single" w:color="auto" w:sz="4" w:space="0"/>
              <w:left w:val="single" w:color="auto" w:sz="4" w:space="0"/>
              <w:bottom w:val="single" w:color="auto" w:sz="4" w:space="0"/>
              <w:right w:val="single" w:color="auto" w:sz="4" w:space="0"/>
            </w:tcBorders>
            <w:shd w:val="clear" w:color="auto" w:fill="auto"/>
            <w:vAlign w:val="center"/>
          </w:tcPr>
          <w:p w14:paraId="4922E839">
            <w:pPr>
              <w:spacing w:line="360" w:lineRule="auto"/>
              <w:jc w:val="center"/>
              <w:rPr>
                <w:rFonts w:hint="eastAsia" w:ascii="宋体" w:hAnsi="宋体" w:cs="宋体"/>
                <w:color w:val="auto"/>
                <w:szCs w:val="21"/>
              </w:rPr>
            </w:pPr>
          </w:p>
        </w:tc>
        <w:tc>
          <w:tcPr>
            <w:tcW w:w="426" w:type="pct"/>
            <w:tcBorders>
              <w:top w:val="single" w:color="auto" w:sz="4" w:space="0"/>
              <w:left w:val="single" w:color="auto" w:sz="4" w:space="0"/>
              <w:bottom w:val="single" w:color="auto" w:sz="4" w:space="0"/>
              <w:right w:val="single" w:color="auto" w:sz="4" w:space="0"/>
            </w:tcBorders>
            <w:shd w:val="clear" w:color="auto" w:fill="auto"/>
            <w:vAlign w:val="center"/>
          </w:tcPr>
          <w:p w14:paraId="40AA80B6">
            <w:pPr>
              <w:spacing w:line="360" w:lineRule="auto"/>
              <w:jc w:val="center"/>
              <w:rPr>
                <w:rFonts w:hint="eastAsia" w:ascii="宋体" w:hAnsi="宋体" w:cs="宋体"/>
                <w:color w:val="auto"/>
                <w:szCs w:val="21"/>
              </w:rPr>
            </w:pPr>
          </w:p>
        </w:tc>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14:paraId="58994B7B">
            <w:pPr>
              <w:jc w:val="center"/>
              <w:rPr>
                <w:rFonts w:hint="eastAsia" w:ascii="宋体" w:hAnsi="宋体" w:cs="宋体"/>
                <w:color w:val="auto"/>
                <w:szCs w:val="21"/>
              </w:rPr>
            </w:pPr>
            <w:r>
              <w:rPr>
                <w:rFonts w:hint="eastAsia" w:ascii="宋体" w:hAnsi="宋体" w:cs="宋体"/>
                <w:color w:val="auto"/>
                <w:szCs w:val="21"/>
              </w:rPr>
              <w:t>1</w:t>
            </w:r>
          </w:p>
        </w:tc>
        <w:tc>
          <w:tcPr>
            <w:tcW w:w="719" w:type="pct"/>
            <w:tcBorders>
              <w:top w:val="single" w:color="auto" w:sz="4" w:space="0"/>
              <w:left w:val="single" w:color="auto" w:sz="4" w:space="0"/>
              <w:bottom w:val="single" w:color="auto" w:sz="4" w:space="0"/>
              <w:right w:val="single" w:color="auto" w:sz="4" w:space="0"/>
            </w:tcBorders>
            <w:shd w:val="clear" w:color="auto" w:fill="auto"/>
            <w:vAlign w:val="center"/>
          </w:tcPr>
          <w:p w14:paraId="73151381">
            <w:pPr>
              <w:spacing w:line="360" w:lineRule="auto"/>
              <w:jc w:val="center"/>
              <w:rPr>
                <w:rFonts w:hint="eastAsia" w:ascii="宋体" w:hAnsi="宋体" w:eastAsia="宋体" w:cs="宋体"/>
                <w:color w:val="auto"/>
                <w:szCs w:val="21"/>
                <w:lang w:val="en-US" w:eastAsia="zh-CN"/>
              </w:rPr>
            </w:pPr>
          </w:p>
        </w:tc>
        <w:tc>
          <w:tcPr>
            <w:tcW w:w="503" w:type="pct"/>
            <w:tcBorders>
              <w:top w:val="single" w:color="auto" w:sz="4" w:space="0"/>
              <w:left w:val="single" w:color="auto" w:sz="4" w:space="0"/>
              <w:bottom w:val="single" w:color="auto" w:sz="4" w:space="0"/>
              <w:right w:val="single" w:color="auto" w:sz="4" w:space="0"/>
            </w:tcBorders>
            <w:shd w:val="clear" w:color="auto" w:fill="auto"/>
            <w:vAlign w:val="center"/>
          </w:tcPr>
          <w:p w14:paraId="60935C3D">
            <w:pPr>
              <w:spacing w:line="360" w:lineRule="auto"/>
              <w:jc w:val="center"/>
              <w:rPr>
                <w:rFonts w:hint="eastAsia" w:ascii="宋体" w:hAnsi="宋体" w:eastAsia="宋体" w:cs="宋体"/>
                <w:color w:val="auto"/>
                <w:szCs w:val="21"/>
                <w:lang w:val="en-US" w:eastAsia="zh-CN"/>
              </w:rPr>
            </w:pPr>
          </w:p>
        </w:tc>
        <w:tc>
          <w:tcPr>
            <w:tcW w:w="1133" w:type="pct"/>
            <w:tcBorders>
              <w:top w:val="single" w:color="auto" w:sz="4" w:space="0"/>
              <w:left w:val="single" w:color="auto" w:sz="4" w:space="0"/>
              <w:bottom w:val="single" w:color="auto" w:sz="4" w:space="0"/>
              <w:right w:val="single" w:color="auto" w:sz="4" w:space="0"/>
            </w:tcBorders>
            <w:shd w:val="clear" w:color="auto" w:fill="auto"/>
            <w:vAlign w:val="center"/>
          </w:tcPr>
          <w:p w14:paraId="10F50298">
            <w:pPr>
              <w:spacing w:line="360" w:lineRule="auto"/>
              <w:jc w:val="center"/>
              <w:rPr>
                <w:rFonts w:hint="eastAsia" w:ascii="宋体" w:hAnsi="宋体" w:cs="宋体"/>
                <w:color w:val="auto"/>
                <w:szCs w:val="21"/>
              </w:rPr>
            </w:pPr>
            <w:r>
              <w:rPr>
                <w:rFonts w:hint="eastAsia" w:ascii="宋体" w:hAnsi="宋体" w:cs="宋体"/>
                <w:color w:val="auto"/>
                <w:szCs w:val="21"/>
              </w:rPr>
              <w:t>202</w:t>
            </w:r>
            <w:r>
              <w:rPr>
                <w:rFonts w:hint="eastAsia" w:ascii="宋体" w:hAnsi="宋体" w:cs="宋体"/>
                <w:color w:val="auto"/>
                <w:szCs w:val="21"/>
                <w:lang w:val="en-US" w:eastAsia="zh-CN"/>
              </w:rPr>
              <w:t>7</w:t>
            </w:r>
            <w:r>
              <w:rPr>
                <w:rFonts w:hint="eastAsia" w:ascii="宋体" w:hAnsi="宋体" w:cs="宋体"/>
                <w:color w:val="auto"/>
                <w:szCs w:val="21"/>
              </w:rPr>
              <w:t>.</w:t>
            </w:r>
            <w:r>
              <w:rPr>
                <w:rFonts w:hint="eastAsia" w:ascii="宋体" w:hAnsi="宋体" w:cs="宋体"/>
                <w:color w:val="auto"/>
                <w:szCs w:val="21"/>
                <w:lang w:val="en-US" w:eastAsia="zh-CN"/>
              </w:rPr>
              <w:t>10.30</w:t>
            </w:r>
            <w:r>
              <w:rPr>
                <w:rFonts w:hint="eastAsia" w:ascii="宋体" w:hAnsi="宋体" w:cs="宋体"/>
                <w:color w:val="auto"/>
                <w:szCs w:val="21"/>
              </w:rPr>
              <w:t>之前</w:t>
            </w:r>
          </w:p>
        </w:tc>
      </w:tr>
      <w:tr w14:paraId="6D395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4A5F0E32">
            <w:pPr>
              <w:jc w:val="center"/>
              <w:rPr>
                <w:rFonts w:hint="eastAsia" w:ascii="宋体" w:hAnsi="宋体" w:cs="宋体"/>
                <w:color w:val="auto"/>
                <w:szCs w:val="21"/>
              </w:rPr>
            </w:pPr>
            <w:r>
              <w:rPr>
                <w:rFonts w:hint="eastAsia" w:ascii="宋体" w:hAnsi="宋体" w:cs="宋体"/>
                <w:color w:val="auto"/>
                <w:szCs w:val="21"/>
              </w:rPr>
              <w:t>3</w:t>
            </w:r>
          </w:p>
        </w:tc>
        <w:tc>
          <w:tcPr>
            <w:tcW w:w="669" w:type="pct"/>
            <w:tcBorders>
              <w:top w:val="single" w:color="auto" w:sz="4" w:space="0"/>
              <w:left w:val="single" w:color="auto" w:sz="4" w:space="0"/>
              <w:bottom w:val="single" w:color="auto" w:sz="4" w:space="0"/>
              <w:right w:val="single" w:color="auto" w:sz="4" w:space="0"/>
            </w:tcBorders>
            <w:shd w:val="clear" w:color="auto" w:fill="auto"/>
            <w:vAlign w:val="center"/>
          </w:tcPr>
          <w:p w14:paraId="5C00C6F2">
            <w:pPr>
              <w:spacing w:line="360" w:lineRule="auto"/>
              <w:jc w:val="center"/>
              <w:rPr>
                <w:rFonts w:hint="eastAsia" w:ascii="宋体" w:hAnsi="宋体" w:cs="宋体"/>
                <w:color w:val="auto"/>
                <w:szCs w:val="21"/>
              </w:rPr>
            </w:pPr>
            <w:r>
              <w:rPr>
                <w:rFonts w:hint="eastAsia" w:ascii="宋体" w:hAnsi="宋体" w:cs="宋体"/>
                <w:color w:val="auto"/>
                <w:szCs w:val="21"/>
                <w:lang w:val="en-US" w:eastAsia="zh-CN"/>
              </w:rPr>
              <w:t>黑石号模型</w:t>
            </w:r>
          </w:p>
        </w:tc>
        <w:tc>
          <w:tcPr>
            <w:tcW w:w="631" w:type="pct"/>
            <w:tcBorders>
              <w:top w:val="single" w:color="auto" w:sz="4" w:space="0"/>
              <w:left w:val="single" w:color="auto" w:sz="4" w:space="0"/>
              <w:bottom w:val="single" w:color="auto" w:sz="4" w:space="0"/>
              <w:right w:val="single" w:color="auto" w:sz="4" w:space="0"/>
            </w:tcBorders>
            <w:shd w:val="clear" w:color="auto" w:fill="auto"/>
            <w:vAlign w:val="center"/>
          </w:tcPr>
          <w:p w14:paraId="343DBBEF">
            <w:pPr>
              <w:spacing w:line="360" w:lineRule="auto"/>
              <w:jc w:val="center"/>
              <w:rPr>
                <w:rFonts w:hint="eastAsia" w:ascii="宋体" w:hAnsi="宋体" w:cs="宋体"/>
                <w:color w:val="auto"/>
                <w:szCs w:val="21"/>
              </w:rPr>
            </w:pPr>
          </w:p>
        </w:tc>
        <w:tc>
          <w:tcPr>
            <w:tcW w:w="426" w:type="pct"/>
            <w:tcBorders>
              <w:top w:val="single" w:color="auto" w:sz="4" w:space="0"/>
              <w:left w:val="single" w:color="auto" w:sz="4" w:space="0"/>
              <w:bottom w:val="single" w:color="auto" w:sz="4" w:space="0"/>
              <w:right w:val="single" w:color="auto" w:sz="4" w:space="0"/>
            </w:tcBorders>
            <w:shd w:val="clear" w:color="auto" w:fill="auto"/>
            <w:vAlign w:val="center"/>
          </w:tcPr>
          <w:p w14:paraId="2089A2A3">
            <w:pPr>
              <w:spacing w:line="360" w:lineRule="auto"/>
              <w:jc w:val="center"/>
              <w:rPr>
                <w:rFonts w:hint="eastAsia" w:ascii="宋体" w:hAnsi="宋体" w:cs="宋体"/>
                <w:color w:val="auto"/>
                <w:szCs w:val="21"/>
              </w:rPr>
            </w:pPr>
          </w:p>
        </w:tc>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14:paraId="08315CE1">
            <w:pPr>
              <w:jc w:val="center"/>
              <w:rPr>
                <w:rFonts w:hint="eastAsia" w:ascii="宋体" w:hAnsi="宋体" w:cs="宋体"/>
                <w:color w:val="auto"/>
                <w:szCs w:val="21"/>
              </w:rPr>
            </w:pPr>
            <w:r>
              <w:rPr>
                <w:rFonts w:hint="eastAsia" w:ascii="宋体" w:hAnsi="宋体" w:cs="宋体"/>
                <w:color w:val="auto"/>
                <w:szCs w:val="21"/>
              </w:rPr>
              <w:t>1</w:t>
            </w:r>
          </w:p>
        </w:tc>
        <w:tc>
          <w:tcPr>
            <w:tcW w:w="719" w:type="pct"/>
            <w:tcBorders>
              <w:top w:val="single" w:color="auto" w:sz="4" w:space="0"/>
              <w:left w:val="single" w:color="auto" w:sz="4" w:space="0"/>
              <w:bottom w:val="single" w:color="auto" w:sz="4" w:space="0"/>
              <w:right w:val="single" w:color="auto" w:sz="4" w:space="0"/>
            </w:tcBorders>
            <w:shd w:val="clear" w:color="auto" w:fill="auto"/>
            <w:vAlign w:val="center"/>
          </w:tcPr>
          <w:p w14:paraId="1FD4A7F5">
            <w:pPr>
              <w:spacing w:line="360" w:lineRule="auto"/>
              <w:jc w:val="center"/>
              <w:rPr>
                <w:rFonts w:hint="eastAsia" w:ascii="宋体" w:hAnsi="宋体" w:eastAsia="宋体" w:cs="宋体"/>
                <w:color w:val="auto"/>
                <w:szCs w:val="21"/>
                <w:lang w:val="en-US" w:eastAsia="zh-CN"/>
              </w:rPr>
            </w:pPr>
          </w:p>
        </w:tc>
        <w:tc>
          <w:tcPr>
            <w:tcW w:w="503" w:type="pct"/>
            <w:tcBorders>
              <w:top w:val="single" w:color="auto" w:sz="4" w:space="0"/>
              <w:left w:val="single" w:color="auto" w:sz="4" w:space="0"/>
              <w:bottom w:val="single" w:color="auto" w:sz="4" w:space="0"/>
              <w:right w:val="single" w:color="auto" w:sz="4" w:space="0"/>
            </w:tcBorders>
            <w:shd w:val="clear" w:color="auto" w:fill="auto"/>
            <w:vAlign w:val="center"/>
          </w:tcPr>
          <w:p w14:paraId="2767A1D6">
            <w:pPr>
              <w:spacing w:line="360" w:lineRule="auto"/>
              <w:jc w:val="center"/>
              <w:rPr>
                <w:rFonts w:hint="eastAsia" w:ascii="宋体" w:hAnsi="宋体" w:eastAsia="宋体" w:cs="宋体"/>
                <w:color w:val="auto"/>
                <w:szCs w:val="21"/>
                <w:lang w:val="en-US" w:eastAsia="zh-CN"/>
              </w:rPr>
            </w:pPr>
          </w:p>
        </w:tc>
        <w:tc>
          <w:tcPr>
            <w:tcW w:w="1133" w:type="pct"/>
            <w:tcBorders>
              <w:top w:val="single" w:color="auto" w:sz="4" w:space="0"/>
              <w:left w:val="single" w:color="auto" w:sz="4" w:space="0"/>
              <w:bottom w:val="single" w:color="auto" w:sz="4" w:space="0"/>
              <w:right w:val="single" w:color="auto" w:sz="4" w:space="0"/>
            </w:tcBorders>
            <w:shd w:val="clear" w:color="auto" w:fill="auto"/>
            <w:vAlign w:val="center"/>
          </w:tcPr>
          <w:p w14:paraId="39E90C05">
            <w:pPr>
              <w:spacing w:line="360" w:lineRule="auto"/>
              <w:jc w:val="center"/>
              <w:rPr>
                <w:rFonts w:hint="eastAsia" w:ascii="宋体" w:hAnsi="宋体" w:cs="宋体"/>
                <w:color w:val="auto"/>
                <w:szCs w:val="21"/>
              </w:rPr>
            </w:pPr>
            <w:r>
              <w:rPr>
                <w:rFonts w:hint="eastAsia" w:ascii="宋体" w:hAnsi="宋体" w:cs="宋体"/>
                <w:color w:val="auto"/>
                <w:szCs w:val="21"/>
              </w:rPr>
              <w:t>202</w:t>
            </w:r>
            <w:r>
              <w:rPr>
                <w:rFonts w:hint="eastAsia" w:ascii="宋体" w:hAnsi="宋体" w:cs="宋体"/>
                <w:color w:val="auto"/>
                <w:szCs w:val="21"/>
                <w:lang w:val="en-US" w:eastAsia="zh-CN"/>
              </w:rPr>
              <w:t>7</w:t>
            </w:r>
            <w:r>
              <w:rPr>
                <w:rFonts w:hint="eastAsia" w:ascii="宋体" w:hAnsi="宋体" w:cs="宋体"/>
                <w:color w:val="auto"/>
                <w:szCs w:val="21"/>
              </w:rPr>
              <w:t>.</w:t>
            </w:r>
            <w:r>
              <w:rPr>
                <w:rFonts w:hint="eastAsia" w:ascii="宋体" w:hAnsi="宋体" w:cs="宋体"/>
                <w:color w:val="auto"/>
                <w:szCs w:val="21"/>
                <w:lang w:val="en-US" w:eastAsia="zh-CN"/>
              </w:rPr>
              <w:t>10.30</w:t>
            </w:r>
            <w:r>
              <w:rPr>
                <w:rFonts w:hint="eastAsia" w:ascii="宋体" w:hAnsi="宋体" w:cs="宋体"/>
                <w:color w:val="auto"/>
                <w:szCs w:val="21"/>
              </w:rPr>
              <w:t>之前</w:t>
            </w:r>
          </w:p>
        </w:tc>
      </w:tr>
      <w:tr w14:paraId="0EC8C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1456724B">
            <w:pPr>
              <w:jc w:val="center"/>
              <w:rPr>
                <w:rFonts w:hint="eastAsia" w:ascii="宋体" w:hAnsi="宋体" w:cs="宋体"/>
                <w:color w:val="auto"/>
                <w:szCs w:val="21"/>
              </w:rPr>
            </w:pPr>
            <w:r>
              <w:rPr>
                <w:rFonts w:hint="eastAsia" w:ascii="宋体" w:hAnsi="宋体" w:cs="宋体"/>
                <w:color w:val="auto"/>
                <w:szCs w:val="21"/>
              </w:rPr>
              <w:t>4</w:t>
            </w:r>
          </w:p>
        </w:tc>
        <w:tc>
          <w:tcPr>
            <w:tcW w:w="669" w:type="pct"/>
            <w:tcBorders>
              <w:top w:val="single" w:color="auto" w:sz="4" w:space="0"/>
              <w:left w:val="single" w:color="auto" w:sz="4" w:space="0"/>
              <w:bottom w:val="single" w:color="auto" w:sz="4" w:space="0"/>
              <w:right w:val="single" w:color="auto" w:sz="4" w:space="0"/>
            </w:tcBorders>
            <w:shd w:val="clear" w:color="auto" w:fill="auto"/>
            <w:vAlign w:val="center"/>
          </w:tcPr>
          <w:p w14:paraId="3DE0DCA5">
            <w:pPr>
              <w:spacing w:line="360" w:lineRule="auto"/>
              <w:jc w:val="center"/>
              <w:rPr>
                <w:rFonts w:hint="eastAsia" w:ascii="宋体" w:hAnsi="宋体" w:cs="宋体"/>
                <w:color w:val="auto"/>
                <w:szCs w:val="21"/>
              </w:rPr>
            </w:pPr>
            <w:r>
              <w:rPr>
                <w:rFonts w:hint="eastAsia" w:ascii="宋体" w:hAnsi="宋体" w:cs="宋体"/>
                <w:color w:val="auto"/>
                <w:szCs w:val="21"/>
              </w:rPr>
              <w:t>哥德堡号沉船</w:t>
            </w:r>
            <w:r>
              <w:rPr>
                <w:rFonts w:hint="eastAsia" w:ascii="宋体" w:hAnsi="宋体" w:cs="宋体"/>
                <w:color w:val="auto"/>
                <w:szCs w:val="21"/>
                <w:lang w:val="en-US" w:eastAsia="zh-CN"/>
              </w:rPr>
              <w:t>模型</w:t>
            </w:r>
          </w:p>
        </w:tc>
        <w:tc>
          <w:tcPr>
            <w:tcW w:w="631" w:type="pct"/>
            <w:tcBorders>
              <w:top w:val="single" w:color="auto" w:sz="4" w:space="0"/>
              <w:left w:val="single" w:color="auto" w:sz="4" w:space="0"/>
              <w:bottom w:val="single" w:color="auto" w:sz="4" w:space="0"/>
              <w:right w:val="single" w:color="auto" w:sz="4" w:space="0"/>
            </w:tcBorders>
            <w:shd w:val="clear" w:color="auto" w:fill="auto"/>
            <w:vAlign w:val="center"/>
          </w:tcPr>
          <w:p w14:paraId="68255B66">
            <w:pPr>
              <w:spacing w:line="360" w:lineRule="auto"/>
              <w:jc w:val="center"/>
              <w:rPr>
                <w:rFonts w:hint="eastAsia" w:ascii="宋体" w:hAnsi="宋体" w:cs="宋体"/>
                <w:color w:val="auto"/>
                <w:szCs w:val="21"/>
              </w:rPr>
            </w:pPr>
          </w:p>
        </w:tc>
        <w:tc>
          <w:tcPr>
            <w:tcW w:w="426" w:type="pct"/>
            <w:tcBorders>
              <w:top w:val="single" w:color="auto" w:sz="4" w:space="0"/>
              <w:left w:val="single" w:color="auto" w:sz="4" w:space="0"/>
              <w:bottom w:val="single" w:color="auto" w:sz="4" w:space="0"/>
              <w:right w:val="single" w:color="auto" w:sz="4" w:space="0"/>
            </w:tcBorders>
            <w:shd w:val="clear" w:color="auto" w:fill="auto"/>
            <w:vAlign w:val="center"/>
          </w:tcPr>
          <w:p w14:paraId="25FE3709">
            <w:pPr>
              <w:spacing w:line="360" w:lineRule="auto"/>
              <w:jc w:val="center"/>
              <w:rPr>
                <w:rFonts w:hint="eastAsia" w:ascii="宋体" w:hAnsi="宋体" w:cs="宋体"/>
                <w:color w:val="auto"/>
                <w:szCs w:val="21"/>
              </w:rPr>
            </w:pPr>
          </w:p>
        </w:tc>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14:paraId="53B0400F">
            <w:pPr>
              <w:jc w:val="center"/>
              <w:rPr>
                <w:rFonts w:hint="eastAsia" w:ascii="宋体" w:hAnsi="宋体" w:cs="宋体"/>
                <w:color w:val="auto"/>
                <w:szCs w:val="21"/>
              </w:rPr>
            </w:pPr>
            <w:r>
              <w:rPr>
                <w:rFonts w:hint="eastAsia" w:ascii="宋体" w:hAnsi="宋体" w:cs="宋体"/>
                <w:color w:val="auto"/>
                <w:szCs w:val="21"/>
              </w:rPr>
              <w:t>1</w:t>
            </w:r>
          </w:p>
        </w:tc>
        <w:tc>
          <w:tcPr>
            <w:tcW w:w="719" w:type="pct"/>
            <w:tcBorders>
              <w:top w:val="single" w:color="auto" w:sz="4" w:space="0"/>
              <w:left w:val="single" w:color="auto" w:sz="4" w:space="0"/>
              <w:bottom w:val="single" w:color="auto" w:sz="4" w:space="0"/>
              <w:right w:val="single" w:color="auto" w:sz="4" w:space="0"/>
            </w:tcBorders>
            <w:shd w:val="clear" w:color="auto" w:fill="auto"/>
            <w:vAlign w:val="center"/>
          </w:tcPr>
          <w:p w14:paraId="255774B4">
            <w:pPr>
              <w:spacing w:line="360" w:lineRule="auto"/>
              <w:jc w:val="center"/>
              <w:rPr>
                <w:rFonts w:hint="eastAsia" w:ascii="宋体" w:hAnsi="宋体" w:eastAsia="宋体" w:cs="宋体"/>
                <w:color w:val="auto"/>
                <w:szCs w:val="21"/>
                <w:lang w:val="en-US" w:eastAsia="zh-CN"/>
              </w:rPr>
            </w:pPr>
          </w:p>
        </w:tc>
        <w:tc>
          <w:tcPr>
            <w:tcW w:w="503" w:type="pct"/>
            <w:tcBorders>
              <w:top w:val="single" w:color="auto" w:sz="4" w:space="0"/>
              <w:left w:val="single" w:color="auto" w:sz="4" w:space="0"/>
              <w:bottom w:val="single" w:color="auto" w:sz="4" w:space="0"/>
              <w:right w:val="single" w:color="auto" w:sz="4" w:space="0"/>
            </w:tcBorders>
            <w:shd w:val="clear" w:color="auto" w:fill="auto"/>
            <w:vAlign w:val="center"/>
          </w:tcPr>
          <w:p w14:paraId="3EB5005C">
            <w:pPr>
              <w:spacing w:line="360" w:lineRule="auto"/>
              <w:jc w:val="center"/>
              <w:rPr>
                <w:rFonts w:hint="eastAsia" w:ascii="宋体" w:hAnsi="宋体" w:eastAsia="宋体" w:cs="宋体"/>
                <w:color w:val="auto"/>
                <w:szCs w:val="21"/>
                <w:lang w:val="en-US" w:eastAsia="zh-CN"/>
              </w:rPr>
            </w:pPr>
          </w:p>
        </w:tc>
        <w:tc>
          <w:tcPr>
            <w:tcW w:w="1133" w:type="pct"/>
            <w:tcBorders>
              <w:top w:val="single" w:color="auto" w:sz="4" w:space="0"/>
              <w:left w:val="single" w:color="auto" w:sz="4" w:space="0"/>
              <w:bottom w:val="single" w:color="auto" w:sz="4" w:space="0"/>
              <w:right w:val="single" w:color="auto" w:sz="4" w:space="0"/>
            </w:tcBorders>
            <w:shd w:val="clear" w:color="auto" w:fill="auto"/>
            <w:vAlign w:val="center"/>
          </w:tcPr>
          <w:p w14:paraId="67E03B42">
            <w:pPr>
              <w:spacing w:line="360" w:lineRule="auto"/>
              <w:jc w:val="center"/>
              <w:rPr>
                <w:rFonts w:hint="eastAsia" w:ascii="宋体" w:hAnsi="宋体" w:cs="宋体"/>
                <w:color w:val="auto"/>
                <w:szCs w:val="21"/>
              </w:rPr>
            </w:pPr>
            <w:r>
              <w:rPr>
                <w:rFonts w:hint="eastAsia" w:ascii="宋体" w:hAnsi="宋体" w:cs="宋体"/>
                <w:color w:val="auto"/>
                <w:szCs w:val="21"/>
              </w:rPr>
              <w:t>202</w:t>
            </w:r>
            <w:r>
              <w:rPr>
                <w:rFonts w:hint="eastAsia" w:ascii="宋体" w:hAnsi="宋体" w:cs="宋体"/>
                <w:color w:val="auto"/>
                <w:szCs w:val="21"/>
                <w:lang w:val="en-US" w:eastAsia="zh-CN"/>
              </w:rPr>
              <w:t>7</w:t>
            </w:r>
            <w:r>
              <w:rPr>
                <w:rFonts w:hint="eastAsia" w:ascii="宋体" w:hAnsi="宋体" w:cs="宋体"/>
                <w:color w:val="auto"/>
                <w:szCs w:val="21"/>
              </w:rPr>
              <w:t>.</w:t>
            </w:r>
            <w:r>
              <w:rPr>
                <w:rFonts w:hint="eastAsia" w:ascii="宋体" w:hAnsi="宋体" w:cs="宋体"/>
                <w:color w:val="auto"/>
                <w:szCs w:val="21"/>
                <w:lang w:val="en-US" w:eastAsia="zh-CN"/>
              </w:rPr>
              <w:t>10.30</w:t>
            </w:r>
            <w:r>
              <w:rPr>
                <w:rFonts w:hint="eastAsia" w:ascii="宋体" w:hAnsi="宋体" w:cs="宋体"/>
                <w:color w:val="auto"/>
                <w:szCs w:val="21"/>
              </w:rPr>
              <w:t>之前</w:t>
            </w:r>
          </w:p>
        </w:tc>
      </w:tr>
      <w:tr w14:paraId="465E0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0ECD1344">
            <w:pPr>
              <w:jc w:val="center"/>
              <w:rPr>
                <w:rFonts w:hint="eastAsia" w:ascii="宋体" w:hAnsi="宋体" w:cs="宋体"/>
                <w:color w:val="auto"/>
                <w:szCs w:val="21"/>
              </w:rPr>
            </w:pPr>
            <w:r>
              <w:rPr>
                <w:rFonts w:hint="eastAsia" w:ascii="宋体" w:hAnsi="宋体" w:cs="宋体"/>
                <w:color w:val="auto"/>
                <w:szCs w:val="21"/>
              </w:rPr>
              <w:t>5</w:t>
            </w:r>
          </w:p>
        </w:tc>
        <w:tc>
          <w:tcPr>
            <w:tcW w:w="669" w:type="pct"/>
            <w:tcBorders>
              <w:top w:val="single" w:color="auto" w:sz="4" w:space="0"/>
              <w:left w:val="single" w:color="auto" w:sz="4" w:space="0"/>
              <w:bottom w:val="single" w:color="auto" w:sz="4" w:space="0"/>
              <w:right w:val="single" w:color="auto" w:sz="4" w:space="0"/>
            </w:tcBorders>
            <w:shd w:val="clear" w:color="auto" w:fill="auto"/>
            <w:vAlign w:val="center"/>
          </w:tcPr>
          <w:p w14:paraId="69353072">
            <w:pPr>
              <w:spacing w:line="360" w:lineRule="auto"/>
              <w:jc w:val="center"/>
              <w:rPr>
                <w:rFonts w:hint="eastAsia" w:ascii="宋体" w:hAnsi="宋体" w:eastAsia="宋体" w:cs="宋体"/>
                <w:color w:val="auto"/>
                <w:szCs w:val="21"/>
                <w:lang w:val="en-US" w:eastAsia="zh-CN"/>
              </w:rPr>
            </w:pPr>
            <w:r>
              <w:rPr>
                <w:rFonts w:hint="eastAsia" w:ascii="宋体" w:hAnsi="宋体" w:cs="宋体"/>
                <w:color w:val="auto"/>
                <w:szCs w:val="21"/>
              </w:rPr>
              <w:t>圣·迭戈号沉船</w:t>
            </w:r>
            <w:r>
              <w:rPr>
                <w:rFonts w:hint="eastAsia" w:ascii="宋体" w:hAnsi="宋体" w:cs="宋体"/>
                <w:color w:val="auto"/>
                <w:szCs w:val="21"/>
                <w:lang w:val="en-US" w:eastAsia="zh-CN"/>
              </w:rPr>
              <w:t>模型</w:t>
            </w:r>
          </w:p>
        </w:tc>
        <w:tc>
          <w:tcPr>
            <w:tcW w:w="631" w:type="pct"/>
            <w:tcBorders>
              <w:top w:val="single" w:color="auto" w:sz="4" w:space="0"/>
              <w:left w:val="single" w:color="auto" w:sz="4" w:space="0"/>
              <w:bottom w:val="single" w:color="auto" w:sz="4" w:space="0"/>
              <w:right w:val="single" w:color="auto" w:sz="4" w:space="0"/>
            </w:tcBorders>
            <w:shd w:val="clear" w:color="auto" w:fill="auto"/>
            <w:vAlign w:val="center"/>
          </w:tcPr>
          <w:p w14:paraId="20A16214">
            <w:pPr>
              <w:spacing w:line="360" w:lineRule="auto"/>
              <w:jc w:val="center"/>
              <w:rPr>
                <w:rFonts w:hint="eastAsia" w:ascii="宋体" w:hAnsi="宋体" w:cs="宋体"/>
                <w:color w:val="auto"/>
                <w:szCs w:val="21"/>
              </w:rPr>
            </w:pPr>
          </w:p>
        </w:tc>
        <w:tc>
          <w:tcPr>
            <w:tcW w:w="426" w:type="pct"/>
            <w:tcBorders>
              <w:top w:val="single" w:color="auto" w:sz="4" w:space="0"/>
              <w:left w:val="single" w:color="auto" w:sz="4" w:space="0"/>
              <w:bottom w:val="single" w:color="auto" w:sz="4" w:space="0"/>
              <w:right w:val="single" w:color="auto" w:sz="4" w:space="0"/>
            </w:tcBorders>
            <w:shd w:val="clear" w:color="auto" w:fill="auto"/>
            <w:vAlign w:val="center"/>
          </w:tcPr>
          <w:p w14:paraId="3ABE09E1">
            <w:pPr>
              <w:spacing w:line="360" w:lineRule="auto"/>
              <w:jc w:val="center"/>
              <w:rPr>
                <w:rFonts w:hint="eastAsia" w:ascii="宋体" w:hAnsi="宋体" w:cs="宋体"/>
                <w:color w:val="auto"/>
                <w:szCs w:val="21"/>
              </w:rPr>
            </w:pPr>
          </w:p>
        </w:tc>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14:paraId="6E4E19CF">
            <w:pPr>
              <w:jc w:val="center"/>
              <w:rPr>
                <w:rFonts w:hint="eastAsia" w:ascii="宋体" w:hAnsi="宋体" w:cs="宋体"/>
                <w:color w:val="auto"/>
                <w:szCs w:val="21"/>
              </w:rPr>
            </w:pPr>
            <w:r>
              <w:rPr>
                <w:rFonts w:hint="eastAsia" w:ascii="宋体" w:hAnsi="宋体" w:cs="宋体"/>
                <w:color w:val="auto"/>
                <w:szCs w:val="21"/>
              </w:rPr>
              <w:t>1</w:t>
            </w:r>
          </w:p>
        </w:tc>
        <w:tc>
          <w:tcPr>
            <w:tcW w:w="719" w:type="pct"/>
            <w:tcBorders>
              <w:top w:val="single" w:color="auto" w:sz="4" w:space="0"/>
              <w:left w:val="single" w:color="auto" w:sz="4" w:space="0"/>
              <w:bottom w:val="single" w:color="auto" w:sz="4" w:space="0"/>
              <w:right w:val="single" w:color="auto" w:sz="4" w:space="0"/>
            </w:tcBorders>
            <w:shd w:val="clear" w:color="auto" w:fill="auto"/>
            <w:vAlign w:val="center"/>
          </w:tcPr>
          <w:p w14:paraId="0447C4D3">
            <w:pPr>
              <w:spacing w:line="360" w:lineRule="auto"/>
              <w:jc w:val="center"/>
              <w:rPr>
                <w:rFonts w:hint="eastAsia" w:ascii="宋体" w:hAnsi="宋体" w:eastAsia="宋体" w:cs="宋体"/>
                <w:color w:val="auto"/>
                <w:szCs w:val="21"/>
                <w:lang w:val="en-US" w:eastAsia="zh-CN"/>
              </w:rPr>
            </w:pPr>
          </w:p>
        </w:tc>
        <w:tc>
          <w:tcPr>
            <w:tcW w:w="503" w:type="pct"/>
            <w:tcBorders>
              <w:top w:val="single" w:color="auto" w:sz="4" w:space="0"/>
              <w:left w:val="single" w:color="auto" w:sz="4" w:space="0"/>
              <w:bottom w:val="single" w:color="auto" w:sz="4" w:space="0"/>
              <w:right w:val="single" w:color="auto" w:sz="4" w:space="0"/>
            </w:tcBorders>
            <w:shd w:val="clear" w:color="auto" w:fill="auto"/>
            <w:vAlign w:val="center"/>
          </w:tcPr>
          <w:p w14:paraId="083A618D">
            <w:pPr>
              <w:spacing w:line="360" w:lineRule="auto"/>
              <w:jc w:val="center"/>
              <w:rPr>
                <w:rFonts w:hint="eastAsia" w:ascii="宋体" w:hAnsi="宋体" w:eastAsia="宋体" w:cs="宋体"/>
                <w:color w:val="auto"/>
                <w:szCs w:val="21"/>
                <w:lang w:val="en-US" w:eastAsia="zh-CN"/>
              </w:rPr>
            </w:pPr>
          </w:p>
        </w:tc>
        <w:tc>
          <w:tcPr>
            <w:tcW w:w="1133" w:type="pct"/>
            <w:tcBorders>
              <w:top w:val="single" w:color="auto" w:sz="4" w:space="0"/>
              <w:left w:val="single" w:color="auto" w:sz="4" w:space="0"/>
              <w:bottom w:val="single" w:color="auto" w:sz="4" w:space="0"/>
              <w:right w:val="single" w:color="auto" w:sz="4" w:space="0"/>
            </w:tcBorders>
            <w:shd w:val="clear" w:color="auto" w:fill="auto"/>
            <w:vAlign w:val="center"/>
          </w:tcPr>
          <w:p w14:paraId="41780BDC">
            <w:pPr>
              <w:spacing w:line="360" w:lineRule="auto"/>
              <w:jc w:val="center"/>
              <w:rPr>
                <w:rFonts w:hint="eastAsia" w:ascii="宋体" w:hAnsi="宋体" w:cs="宋体"/>
                <w:color w:val="auto"/>
                <w:szCs w:val="21"/>
              </w:rPr>
            </w:pPr>
            <w:r>
              <w:rPr>
                <w:rFonts w:hint="eastAsia" w:ascii="宋体" w:hAnsi="宋体" w:cs="宋体"/>
                <w:color w:val="auto"/>
                <w:szCs w:val="21"/>
              </w:rPr>
              <w:t>202</w:t>
            </w:r>
            <w:r>
              <w:rPr>
                <w:rFonts w:hint="eastAsia" w:ascii="宋体" w:hAnsi="宋体" w:cs="宋体"/>
                <w:color w:val="auto"/>
                <w:szCs w:val="21"/>
                <w:lang w:val="en-US" w:eastAsia="zh-CN"/>
              </w:rPr>
              <w:t>7</w:t>
            </w:r>
            <w:r>
              <w:rPr>
                <w:rFonts w:hint="eastAsia" w:ascii="宋体" w:hAnsi="宋体" w:cs="宋体"/>
                <w:color w:val="auto"/>
                <w:szCs w:val="21"/>
              </w:rPr>
              <w:t>.</w:t>
            </w:r>
            <w:r>
              <w:rPr>
                <w:rFonts w:hint="eastAsia" w:ascii="宋体" w:hAnsi="宋体" w:cs="宋体"/>
                <w:color w:val="auto"/>
                <w:szCs w:val="21"/>
                <w:lang w:val="en-US" w:eastAsia="zh-CN"/>
              </w:rPr>
              <w:t>10.30</w:t>
            </w:r>
            <w:r>
              <w:rPr>
                <w:rFonts w:hint="eastAsia" w:ascii="宋体" w:hAnsi="宋体" w:cs="宋体"/>
                <w:color w:val="auto"/>
                <w:szCs w:val="21"/>
              </w:rPr>
              <w:t>之前</w:t>
            </w:r>
          </w:p>
        </w:tc>
      </w:tr>
      <w:tr w14:paraId="7CE0A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3022387F">
            <w:pPr>
              <w:jc w:val="center"/>
              <w:rPr>
                <w:rFonts w:hint="eastAsia" w:ascii="宋体" w:hAnsi="宋体" w:cs="宋体"/>
                <w:color w:val="auto"/>
                <w:szCs w:val="21"/>
              </w:rPr>
            </w:pPr>
            <w:r>
              <w:rPr>
                <w:rFonts w:hint="eastAsia" w:ascii="宋体" w:hAnsi="宋体" w:cs="宋体"/>
                <w:color w:val="auto"/>
                <w:szCs w:val="21"/>
              </w:rPr>
              <w:t>6</w:t>
            </w:r>
          </w:p>
        </w:tc>
        <w:tc>
          <w:tcPr>
            <w:tcW w:w="669" w:type="pct"/>
            <w:tcBorders>
              <w:top w:val="single" w:color="auto" w:sz="4" w:space="0"/>
              <w:left w:val="single" w:color="auto" w:sz="4" w:space="0"/>
              <w:bottom w:val="single" w:color="auto" w:sz="4" w:space="0"/>
              <w:right w:val="single" w:color="auto" w:sz="4" w:space="0"/>
            </w:tcBorders>
            <w:shd w:val="clear" w:color="auto" w:fill="auto"/>
            <w:vAlign w:val="center"/>
          </w:tcPr>
          <w:p w14:paraId="2EA21CAF">
            <w:pPr>
              <w:spacing w:line="360" w:lineRule="auto"/>
              <w:jc w:val="center"/>
              <w:rPr>
                <w:rFonts w:hint="eastAsia" w:ascii="宋体" w:hAnsi="宋体" w:cs="宋体"/>
                <w:color w:val="auto"/>
                <w:szCs w:val="21"/>
              </w:rPr>
            </w:pPr>
            <w:r>
              <w:rPr>
                <w:rFonts w:hint="eastAsia" w:ascii="宋体" w:hAnsi="宋体" w:cs="宋体"/>
                <w:color w:val="auto"/>
                <w:szCs w:val="21"/>
              </w:rPr>
              <w:t>泰兴号沉船</w:t>
            </w:r>
            <w:r>
              <w:rPr>
                <w:rFonts w:hint="eastAsia" w:ascii="宋体" w:hAnsi="宋体" w:cs="宋体"/>
                <w:color w:val="auto"/>
                <w:szCs w:val="21"/>
                <w:lang w:val="en-US" w:eastAsia="zh-CN"/>
              </w:rPr>
              <w:t>模型</w:t>
            </w:r>
          </w:p>
        </w:tc>
        <w:tc>
          <w:tcPr>
            <w:tcW w:w="631" w:type="pct"/>
            <w:tcBorders>
              <w:top w:val="single" w:color="auto" w:sz="4" w:space="0"/>
              <w:left w:val="single" w:color="auto" w:sz="4" w:space="0"/>
              <w:bottom w:val="single" w:color="auto" w:sz="4" w:space="0"/>
              <w:right w:val="single" w:color="auto" w:sz="4" w:space="0"/>
            </w:tcBorders>
            <w:shd w:val="clear" w:color="auto" w:fill="auto"/>
            <w:vAlign w:val="center"/>
          </w:tcPr>
          <w:p w14:paraId="675DD35E">
            <w:pPr>
              <w:spacing w:line="360" w:lineRule="auto"/>
              <w:jc w:val="center"/>
              <w:rPr>
                <w:rFonts w:hint="eastAsia" w:ascii="宋体" w:hAnsi="宋体" w:cs="宋体"/>
                <w:color w:val="auto"/>
                <w:szCs w:val="21"/>
              </w:rPr>
            </w:pPr>
          </w:p>
        </w:tc>
        <w:tc>
          <w:tcPr>
            <w:tcW w:w="426" w:type="pct"/>
            <w:tcBorders>
              <w:top w:val="single" w:color="auto" w:sz="4" w:space="0"/>
              <w:left w:val="single" w:color="auto" w:sz="4" w:space="0"/>
              <w:bottom w:val="single" w:color="auto" w:sz="4" w:space="0"/>
              <w:right w:val="single" w:color="auto" w:sz="4" w:space="0"/>
            </w:tcBorders>
            <w:shd w:val="clear" w:color="auto" w:fill="auto"/>
            <w:vAlign w:val="center"/>
          </w:tcPr>
          <w:p w14:paraId="49CB511A">
            <w:pPr>
              <w:spacing w:line="360" w:lineRule="auto"/>
              <w:jc w:val="center"/>
              <w:rPr>
                <w:rFonts w:hint="eastAsia" w:ascii="宋体" w:hAnsi="宋体" w:cs="宋体"/>
                <w:color w:val="auto"/>
                <w:szCs w:val="21"/>
              </w:rPr>
            </w:pPr>
          </w:p>
        </w:tc>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14:paraId="19E33494">
            <w:pPr>
              <w:jc w:val="center"/>
              <w:rPr>
                <w:rFonts w:hint="eastAsia" w:ascii="宋体" w:hAnsi="宋体" w:cs="宋体"/>
                <w:color w:val="auto"/>
                <w:szCs w:val="21"/>
              </w:rPr>
            </w:pPr>
            <w:r>
              <w:rPr>
                <w:rFonts w:hint="eastAsia" w:ascii="宋体" w:hAnsi="宋体" w:cs="宋体"/>
                <w:color w:val="auto"/>
                <w:szCs w:val="21"/>
              </w:rPr>
              <w:t>1</w:t>
            </w:r>
          </w:p>
        </w:tc>
        <w:tc>
          <w:tcPr>
            <w:tcW w:w="719" w:type="pct"/>
            <w:tcBorders>
              <w:top w:val="single" w:color="auto" w:sz="4" w:space="0"/>
              <w:left w:val="single" w:color="auto" w:sz="4" w:space="0"/>
              <w:bottom w:val="single" w:color="auto" w:sz="4" w:space="0"/>
              <w:right w:val="single" w:color="auto" w:sz="4" w:space="0"/>
            </w:tcBorders>
            <w:shd w:val="clear" w:color="auto" w:fill="auto"/>
            <w:vAlign w:val="center"/>
          </w:tcPr>
          <w:p w14:paraId="3661200B">
            <w:pPr>
              <w:spacing w:line="360" w:lineRule="auto"/>
              <w:jc w:val="center"/>
              <w:rPr>
                <w:rFonts w:hint="eastAsia" w:ascii="宋体" w:hAnsi="宋体" w:eastAsia="宋体" w:cs="宋体"/>
                <w:color w:val="auto"/>
                <w:szCs w:val="21"/>
                <w:lang w:val="en-US" w:eastAsia="zh-CN"/>
              </w:rPr>
            </w:pPr>
          </w:p>
        </w:tc>
        <w:tc>
          <w:tcPr>
            <w:tcW w:w="503" w:type="pct"/>
            <w:tcBorders>
              <w:top w:val="single" w:color="auto" w:sz="4" w:space="0"/>
              <w:left w:val="single" w:color="auto" w:sz="4" w:space="0"/>
              <w:bottom w:val="single" w:color="auto" w:sz="4" w:space="0"/>
              <w:right w:val="single" w:color="auto" w:sz="4" w:space="0"/>
            </w:tcBorders>
            <w:shd w:val="clear" w:color="auto" w:fill="auto"/>
            <w:vAlign w:val="center"/>
          </w:tcPr>
          <w:p w14:paraId="5DCD5E70">
            <w:pPr>
              <w:spacing w:line="360" w:lineRule="auto"/>
              <w:jc w:val="center"/>
              <w:rPr>
                <w:rFonts w:hint="eastAsia" w:ascii="宋体" w:hAnsi="宋体" w:eastAsia="宋体" w:cs="宋体"/>
                <w:color w:val="auto"/>
                <w:szCs w:val="21"/>
                <w:lang w:val="en-US" w:eastAsia="zh-CN"/>
              </w:rPr>
            </w:pPr>
          </w:p>
        </w:tc>
        <w:tc>
          <w:tcPr>
            <w:tcW w:w="1133" w:type="pct"/>
            <w:tcBorders>
              <w:top w:val="single" w:color="auto" w:sz="4" w:space="0"/>
              <w:left w:val="single" w:color="auto" w:sz="4" w:space="0"/>
              <w:bottom w:val="single" w:color="auto" w:sz="4" w:space="0"/>
              <w:right w:val="single" w:color="auto" w:sz="4" w:space="0"/>
            </w:tcBorders>
            <w:shd w:val="clear" w:color="auto" w:fill="auto"/>
            <w:vAlign w:val="center"/>
          </w:tcPr>
          <w:p w14:paraId="057A3E31">
            <w:pPr>
              <w:spacing w:line="360" w:lineRule="auto"/>
              <w:jc w:val="center"/>
              <w:rPr>
                <w:rFonts w:hint="eastAsia" w:ascii="宋体" w:hAnsi="宋体" w:cs="宋体"/>
                <w:color w:val="auto"/>
                <w:szCs w:val="21"/>
              </w:rPr>
            </w:pPr>
            <w:r>
              <w:rPr>
                <w:rFonts w:hint="eastAsia" w:ascii="宋体" w:hAnsi="宋体" w:cs="宋体"/>
                <w:color w:val="auto"/>
                <w:szCs w:val="21"/>
              </w:rPr>
              <w:t>202</w:t>
            </w:r>
            <w:r>
              <w:rPr>
                <w:rFonts w:hint="eastAsia" w:ascii="宋体" w:hAnsi="宋体" w:cs="宋体"/>
                <w:color w:val="auto"/>
                <w:szCs w:val="21"/>
                <w:lang w:val="en-US" w:eastAsia="zh-CN"/>
              </w:rPr>
              <w:t>7</w:t>
            </w:r>
            <w:r>
              <w:rPr>
                <w:rFonts w:hint="eastAsia" w:ascii="宋体" w:hAnsi="宋体" w:cs="宋体"/>
                <w:color w:val="auto"/>
                <w:szCs w:val="21"/>
              </w:rPr>
              <w:t>.</w:t>
            </w:r>
            <w:r>
              <w:rPr>
                <w:rFonts w:hint="eastAsia" w:ascii="宋体" w:hAnsi="宋体" w:cs="宋体"/>
                <w:color w:val="auto"/>
                <w:szCs w:val="21"/>
                <w:lang w:val="en-US" w:eastAsia="zh-CN"/>
              </w:rPr>
              <w:t>10.30</w:t>
            </w:r>
            <w:r>
              <w:rPr>
                <w:rFonts w:hint="eastAsia" w:ascii="宋体" w:hAnsi="宋体" w:cs="宋体"/>
                <w:color w:val="auto"/>
                <w:szCs w:val="21"/>
              </w:rPr>
              <w:t>之前</w:t>
            </w:r>
          </w:p>
        </w:tc>
      </w:tr>
      <w:tr w14:paraId="2A417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381" w:type="pct"/>
            <w:tcBorders>
              <w:top w:val="single" w:color="auto" w:sz="4" w:space="0"/>
              <w:left w:val="single" w:color="auto" w:sz="4" w:space="0"/>
              <w:bottom w:val="single" w:color="auto" w:sz="4" w:space="0"/>
              <w:right w:val="single" w:color="auto" w:sz="4" w:space="0"/>
            </w:tcBorders>
            <w:shd w:val="clear" w:color="auto" w:fill="auto"/>
            <w:vAlign w:val="center"/>
          </w:tcPr>
          <w:p w14:paraId="0F4DC1A5">
            <w:pPr>
              <w:jc w:val="center"/>
              <w:rPr>
                <w:rFonts w:hint="eastAsia" w:ascii="宋体" w:hAnsi="宋体" w:eastAsia="宋体" w:cs="宋体"/>
                <w:color w:val="auto"/>
                <w:szCs w:val="21"/>
                <w:lang w:val="en-US" w:eastAsia="zh-CN"/>
              </w:rPr>
            </w:pPr>
            <w:r>
              <w:rPr>
                <w:rFonts w:hint="eastAsia" w:ascii="宋体" w:hAnsi="宋体" w:cs="宋体"/>
                <w:color w:val="auto"/>
                <w:szCs w:val="21"/>
                <w:lang w:val="en-US" w:eastAsia="zh-CN"/>
              </w:rPr>
              <w:t>7</w:t>
            </w:r>
          </w:p>
        </w:tc>
        <w:tc>
          <w:tcPr>
            <w:tcW w:w="669" w:type="pct"/>
            <w:tcBorders>
              <w:top w:val="single" w:color="auto" w:sz="4" w:space="0"/>
              <w:left w:val="single" w:color="auto" w:sz="4" w:space="0"/>
              <w:bottom w:val="single" w:color="auto" w:sz="4" w:space="0"/>
              <w:right w:val="single" w:color="auto" w:sz="4" w:space="0"/>
            </w:tcBorders>
            <w:shd w:val="clear" w:color="auto" w:fill="auto"/>
            <w:vAlign w:val="center"/>
          </w:tcPr>
          <w:p w14:paraId="510D5ECB">
            <w:pPr>
              <w:spacing w:line="360" w:lineRule="auto"/>
              <w:jc w:val="center"/>
              <w:rPr>
                <w:rFonts w:hint="eastAsia" w:ascii="宋体" w:hAnsi="宋体" w:cs="宋体"/>
                <w:color w:val="auto"/>
                <w:szCs w:val="21"/>
                <w:lang w:val="en-US" w:eastAsia="zh-CN"/>
              </w:rPr>
            </w:pPr>
            <w:r>
              <w:rPr>
                <w:rFonts w:hint="eastAsia" w:ascii="宋体" w:hAnsi="宋体" w:cs="宋体"/>
                <w:color w:val="auto"/>
                <w:szCs w:val="21"/>
                <w:lang w:val="en-US" w:eastAsia="zh-CN"/>
              </w:rPr>
              <w:t>卡蒂萨克号模型</w:t>
            </w:r>
          </w:p>
        </w:tc>
        <w:tc>
          <w:tcPr>
            <w:tcW w:w="631" w:type="pct"/>
            <w:tcBorders>
              <w:top w:val="single" w:color="auto" w:sz="4" w:space="0"/>
              <w:left w:val="single" w:color="auto" w:sz="4" w:space="0"/>
              <w:bottom w:val="single" w:color="auto" w:sz="4" w:space="0"/>
              <w:right w:val="single" w:color="auto" w:sz="4" w:space="0"/>
            </w:tcBorders>
            <w:shd w:val="clear" w:color="auto" w:fill="auto"/>
            <w:vAlign w:val="center"/>
          </w:tcPr>
          <w:p w14:paraId="3D99EFDA">
            <w:pPr>
              <w:spacing w:line="360" w:lineRule="auto"/>
              <w:jc w:val="center"/>
              <w:rPr>
                <w:rFonts w:hint="eastAsia" w:ascii="宋体" w:hAnsi="宋体" w:cs="宋体"/>
                <w:color w:val="auto"/>
                <w:szCs w:val="21"/>
              </w:rPr>
            </w:pPr>
          </w:p>
        </w:tc>
        <w:tc>
          <w:tcPr>
            <w:tcW w:w="426" w:type="pct"/>
            <w:tcBorders>
              <w:top w:val="single" w:color="auto" w:sz="4" w:space="0"/>
              <w:left w:val="single" w:color="auto" w:sz="4" w:space="0"/>
              <w:bottom w:val="single" w:color="auto" w:sz="4" w:space="0"/>
              <w:right w:val="single" w:color="auto" w:sz="4" w:space="0"/>
            </w:tcBorders>
            <w:shd w:val="clear" w:color="auto" w:fill="auto"/>
            <w:vAlign w:val="center"/>
          </w:tcPr>
          <w:p w14:paraId="1FBA3951">
            <w:pPr>
              <w:spacing w:line="360" w:lineRule="auto"/>
              <w:jc w:val="center"/>
              <w:rPr>
                <w:rFonts w:hint="eastAsia" w:ascii="宋体" w:hAnsi="宋体" w:cs="宋体"/>
                <w:color w:val="auto"/>
                <w:szCs w:val="21"/>
              </w:rPr>
            </w:pPr>
          </w:p>
        </w:tc>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14:paraId="5B07020A">
            <w:pPr>
              <w:jc w:val="center"/>
              <w:rPr>
                <w:rFonts w:hint="eastAsia" w:ascii="宋体" w:hAnsi="宋体" w:eastAsia="宋体" w:cs="宋体"/>
                <w:color w:val="auto"/>
                <w:szCs w:val="21"/>
                <w:lang w:val="en-US" w:eastAsia="zh-CN"/>
              </w:rPr>
            </w:pPr>
            <w:r>
              <w:rPr>
                <w:rFonts w:hint="eastAsia" w:ascii="宋体" w:hAnsi="宋体" w:cs="宋体"/>
                <w:color w:val="auto"/>
                <w:szCs w:val="21"/>
                <w:lang w:val="en-US" w:eastAsia="zh-CN"/>
              </w:rPr>
              <w:t>1</w:t>
            </w:r>
          </w:p>
        </w:tc>
        <w:tc>
          <w:tcPr>
            <w:tcW w:w="719" w:type="pct"/>
            <w:tcBorders>
              <w:top w:val="single" w:color="auto" w:sz="4" w:space="0"/>
              <w:left w:val="single" w:color="auto" w:sz="4" w:space="0"/>
              <w:bottom w:val="single" w:color="auto" w:sz="4" w:space="0"/>
              <w:right w:val="single" w:color="auto" w:sz="4" w:space="0"/>
            </w:tcBorders>
            <w:shd w:val="clear" w:color="auto" w:fill="auto"/>
            <w:vAlign w:val="center"/>
          </w:tcPr>
          <w:p w14:paraId="19C2085B">
            <w:pPr>
              <w:spacing w:line="360" w:lineRule="auto"/>
              <w:jc w:val="center"/>
              <w:rPr>
                <w:rFonts w:hint="eastAsia" w:ascii="宋体" w:hAnsi="宋体" w:eastAsia="宋体" w:cs="宋体"/>
                <w:color w:val="auto"/>
                <w:szCs w:val="21"/>
                <w:lang w:val="en-US" w:eastAsia="zh-CN"/>
              </w:rPr>
            </w:pPr>
          </w:p>
        </w:tc>
        <w:tc>
          <w:tcPr>
            <w:tcW w:w="503" w:type="pct"/>
            <w:tcBorders>
              <w:top w:val="single" w:color="auto" w:sz="4" w:space="0"/>
              <w:left w:val="single" w:color="auto" w:sz="4" w:space="0"/>
              <w:bottom w:val="single" w:color="auto" w:sz="4" w:space="0"/>
              <w:right w:val="single" w:color="auto" w:sz="4" w:space="0"/>
            </w:tcBorders>
            <w:shd w:val="clear" w:color="auto" w:fill="auto"/>
            <w:vAlign w:val="center"/>
          </w:tcPr>
          <w:p w14:paraId="53ABD05E">
            <w:pPr>
              <w:spacing w:line="360" w:lineRule="auto"/>
              <w:jc w:val="center"/>
              <w:rPr>
                <w:rFonts w:hint="eastAsia" w:ascii="宋体" w:hAnsi="宋体" w:eastAsia="宋体" w:cs="宋体"/>
                <w:color w:val="auto"/>
                <w:szCs w:val="21"/>
                <w:lang w:val="en-US" w:eastAsia="zh-CN"/>
              </w:rPr>
            </w:pPr>
          </w:p>
        </w:tc>
        <w:tc>
          <w:tcPr>
            <w:tcW w:w="1133" w:type="pct"/>
            <w:tcBorders>
              <w:top w:val="single" w:color="auto" w:sz="4" w:space="0"/>
              <w:left w:val="single" w:color="auto" w:sz="4" w:space="0"/>
              <w:bottom w:val="single" w:color="auto" w:sz="4" w:space="0"/>
              <w:right w:val="single" w:color="auto" w:sz="4" w:space="0"/>
            </w:tcBorders>
            <w:shd w:val="clear" w:color="auto" w:fill="auto"/>
            <w:vAlign w:val="center"/>
          </w:tcPr>
          <w:p w14:paraId="3E19D7C5">
            <w:pPr>
              <w:spacing w:line="360" w:lineRule="auto"/>
              <w:jc w:val="center"/>
              <w:rPr>
                <w:rFonts w:hint="eastAsia" w:ascii="宋体" w:hAnsi="宋体" w:cs="宋体"/>
                <w:color w:val="auto"/>
                <w:szCs w:val="21"/>
              </w:rPr>
            </w:pPr>
            <w:r>
              <w:rPr>
                <w:rFonts w:hint="eastAsia" w:ascii="宋体" w:hAnsi="宋体" w:cs="宋体"/>
                <w:color w:val="auto"/>
                <w:szCs w:val="21"/>
              </w:rPr>
              <w:t>202</w:t>
            </w:r>
            <w:r>
              <w:rPr>
                <w:rFonts w:hint="eastAsia" w:ascii="宋体" w:hAnsi="宋体" w:cs="宋体"/>
                <w:color w:val="auto"/>
                <w:szCs w:val="21"/>
                <w:lang w:val="en-US" w:eastAsia="zh-CN"/>
              </w:rPr>
              <w:t>7</w:t>
            </w:r>
            <w:r>
              <w:rPr>
                <w:rFonts w:hint="eastAsia" w:ascii="宋体" w:hAnsi="宋体" w:cs="宋体"/>
                <w:color w:val="auto"/>
                <w:szCs w:val="21"/>
              </w:rPr>
              <w:t>.</w:t>
            </w:r>
            <w:r>
              <w:rPr>
                <w:rFonts w:hint="eastAsia" w:ascii="宋体" w:hAnsi="宋体" w:cs="宋体"/>
                <w:color w:val="auto"/>
                <w:szCs w:val="21"/>
                <w:lang w:val="en-US" w:eastAsia="zh-CN"/>
              </w:rPr>
              <w:t>10.30</w:t>
            </w:r>
            <w:r>
              <w:rPr>
                <w:rFonts w:hint="eastAsia" w:ascii="宋体" w:hAnsi="宋体" w:cs="宋体"/>
                <w:color w:val="auto"/>
                <w:szCs w:val="21"/>
              </w:rPr>
              <w:t>之前</w:t>
            </w:r>
          </w:p>
        </w:tc>
      </w:tr>
      <w:tr w14:paraId="5E52C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2108"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0277CCEB">
            <w:pPr>
              <w:spacing w:line="360" w:lineRule="auto"/>
              <w:jc w:val="center"/>
              <w:rPr>
                <w:rFonts w:hint="default" w:ascii="宋体" w:hAnsi="宋体" w:eastAsia="宋体" w:cs="宋体"/>
                <w:color w:val="auto"/>
                <w:szCs w:val="21"/>
                <w:lang w:val="en-US" w:eastAsia="zh-CN"/>
              </w:rPr>
            </w:pPr>
            <w:r>
              <w:rPr>
                <w:rFonts w:hint="eastAsia" w:ascii="宋体" w:hAnsi="宋体" w:cs="宋体"/>
                <w:color w:val="auto"/>
                <w:szCs w:val="21"/>
                <w:lang w:val="en-US" w:eastAsia="zh-CN"/>
              </w:rPr>
              <w:t>总计</w:t>
            </w:r>
          </w:p>
        </w:tc>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14:paraId="5F5EF0E1">
            <w:pPr>
              <w:jc w:val="center"/>
              <w:rPr>
                <w:rFonts w:hint="default" w:ascii="宋体" w:hAnsi="宋体" w:cs="宋体"/>
                <w:color w:val="auto"/>
                <w:szCs w:val="21"/>
                <w:lang w:val="en-US" w:eastAsia="zh-CN"/>
              </w:rPr>
            </w:pPr>
            <w:r>
              <w:rPr>
                <w:rFonts w:hint="eastAsia" w:ascii="宋体" w:hAnsi="宋体" w:cs="宋体"/>
                <w:color w:val="auto"/>
                <w:szCs w:val="21"/>
                <w:lang w:val="en-US" w:eastAsia="zh-CN"/>
              </w:rPr>
              <w:t>7</w:t>
            </w:r>
          </w:p>
        </w:tc>
        <w:tc>
          <w:tcPr>
            <w:tcW w:w="719" w:type="pct"/>
            <w:tcBorders>
              <w:top w:val="single" w:color="auto" w:sz="4" w:space="0"/>
              <w:left w:val="single" w:color="auto" w:sz="4" w:space="0"/>
              <w:bottom w:val="single" w:color="auto" w:sz="4" w:space="0"/>
              <w:right w:val="single" w:color="auto" w:sz="4" w:space="0"/>
            </w:tcBorders>
            <w:shd w:val="clear" w:color="auto" w:fill="auto"/>
            <w:vAlign w:val="center"/>
          </w:tcPr>
          <w:p w14:paraId="04F4B46C">
            <w:pPr>
              <w:spacing w:line="360" w:lineRule="auto"/>
              <w:jc w:val="center"/>
              <w:rPr>
                <w:rFonts w:hint="eastAsia" w:ascii="宋体" w:hAnsi="宋体" w:eastAsia="宋体" w:cs="宋体"/>
                <w:color w:val="auto"/>
                <w:szCs w:val="21"/>
                <w:lang w:val="en-US" w:eastAsia="zh-CN"/>
              </w:rPr>
            </w:pPr>
          </w:p>
        </w:tc>
        <w:tc>
          <w:tcPr>
            <w:tcW w:w="503" w:type="pct"/>
            <w:tcBorders>
              <w:top w:val="single" w:color="auto" w:sz="4" w:space="0"/>
              <w:left w:val="single" w:color="auto" w:sz="4" w:space="0"/>
              <w:bottom w:val="single" w:color="auto" w:sz="4" w:space="0"/>
              <w:right w:val="single" w:color="auto" w:sz="4" w:space="0"/>
            </w:tcBorders>
            <w:shd w:val="clear" w:color="auto" w:fill="auto"/>
            <w:vAlign w:val="center"/>
          </w:tcPr>
          <w:p w14:paraId="068E867A">
            <w:pPr>
              <w:spacing w:line="360" w:lineRule="auto"/>
              <w:jc w:val="center"/>
              <w:rPr>
                <w:rFonts w:hint="eastAsia" w:ascii="宋体" w:hAnsi="宋体" w:eastAsia="宋体" w:cs="宋体"/>
                <w:color w:val="auto"/>
                <w:szCs w:val="21"/>
                <w:lang w:val="en-US" w:eastAsia="zh-CN"/>
              </w:rPr>
            </w:pPr>
          </w:p>
        </w:tc>
        <w:tc>
          <w:tcPr>
            <w:tcW w:w="1133" w:type="pct"/>
            <w:tcBorders>
              <w:top w:val="single" w:color="auto" w:sz="4" w:space="0"/>
              <w:left w:val="single" w:color="auto" w:sz="4" w:space="0"/>
              <w:bottom w:val="single" w:color="auto" w:sz="4" w:space="0"/>
              <w:right w:val="single" w:color="auto" w:sz="4" w:space="0"/>
            </w:tcBorders>
            <w:shd w:val="clear" w:color="auto" w:fill="auto"/>
            <w:vAlign w:val="center"/>
          </w:tcPr>
          <w:p w14:paraId="55F2C2D9">
            <w:pPr>
              <w:spacing w:line="360" w:lineRule="auto"/>
              <w:jc w:val="center"/>
              <w:rPr>
                <w:rFonts w:hint="eastAsia" w:ascii="宋体" w:hAnsi="宋体" w:cs="宋体"/>
                <w:color w:val="auto"/>
                <w:szCs w:val="21"/>
              </w:rPr>
            </w:pPr>
            <w:r>
              <w:rPr>
                <w:rFonts w:hint="eastAsia" w:ascii="宋体" w:hAnsi="宋体" w:cs="宋体"/>
                <w:color w:val="auto"/>
                <w:szCs w:val="21"/>
              </w:rPr>
              <w:t>202</w:t>
            </w:r>
            <w:r>
              <w:rPr>
                <w:rFonts w:hint="eastAsia" w:ascii="宋体" w:hAnsi="宋体" w:cs="宋体"/>
                <w:color w:val="auto"/>
                <w:szCs w:val="21"/>
                <w:lang w:val="en-US" w:eastAsia="zh-CN"/>
              </w:rPr>
              <w:t>7</w:t>
            </w:r>
            <w:r>
              <w:rPr>
                <w:rFonts w:hint="eastAsia" w:ascii="宋体" w:hAnsi="宋体" w:cs="宋体"/>
                <w:color w:val="auto"/>
                <w:szCs w:val="21"/>
              </w:rPr>
              <w:t>.</w:t>
            </w:r>
            <w:r>
              <w:rPr>
                <w:rFonts w:hint="eastAsia" w:ascii="宋体" w:hAnsi="宋体" w:cs="宋体"/>
                <w:color w:val="auto"/>
                <w:szCs w:val="21"/>
                <w:lang w:val="en-US" w:eastAsia="zh-CN"/>
              </w:rPr>
              <w:t>10.30</w:t>
            </w:r>
            <w:r>
              <w:rPr>
                <w:rFonts w:hint="eastAsia" w:ascii="宋体" w:hAnsi="宋体" w:cs="宋体"/>
                <w:color w:val="auto"/>
                <w:szCs w:val="21"/>
              </w:rPr>
              <w:t>之前</w:t>
            </w:r>
          </w:p>
        </w:tc>
      </w:tr>
    </w:tbl>
    <w:p w14:paraId="51671132">
      <w:pPr>
        <w:snapToGrid w:val="0"/>
        <w:spacing w:line="360" w:lineRule="auto"/>
        <w:ind w:firstLine="480" w:firstLineChars="200"/>
        <w:rPr>
          <w:rFonts w:hint="eastAsia" w:ascii="宋体" w:hAnsi="宋体" w:cs="宋体"/>
          <w:color w:val="auto"/>
          <w:sz w:val="24"/>
          <w:szCs w:val="24"/>
          <w:u w:val="single"/>
        </w:rPr>
      </w:pPr>
      <w:r>
        <w:rPr>
          <w:rFonts w:hint="eastAsia" w:ascii="宋体" w:hAnsi="宋体" w:cs="宋体"/>
          <w:color w:val="auto"/>
          <w:sz w:val="24"/>
          <w:szCs w:val="24"/>
        </w:rPr>
        <w:t xml:space="preserve">                                          </w:t>
      </w:r>
    </w:p>
    <w:p w14:paraId="0D39207D">
      <w:pPr>
        <w:snapToGrid w:val="0"/>
        <w:spacing w:line="360" w:lineRule="auto"/>
        <w:ind w:firstLine="482" w:firstLineChars="200"/>
        <w:rPr>
          <w:rFonts w:hint="eastAsia" w:ascii="宋体" w:hAnsi="宋体" w:cs="宋体"/>
          <w:color w:val="auto"/>
          <w:sz w:val="24"/>
          <w:szCs w:val="24"/>
        </w:rPr>
      </w:pPr>
      <w:r>
        <w:rPr>
          <w:rFonts w:hint="eastAsia" w:ascii="宋体" w:hAnsi="宋体" w:cs="宋体"/>
          <w:b/>
          <w:color w:val="auto"/>
          <w:sz w:val="24"/>
          <w:szCs w:val="24"/>
        </w:rPr>
        <w:t>4. 付款方式</w:t>
      </w:r>
    </w:p>
    <w:p w14:paraId="2C41CA8A">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本合同的付款方式为：</w:t>
      </w:r>
    </w:p>
    <w:p w14:paraId="73141EFB">
      <w:pPr>
        <w:snapToGrid w:val="0"/>
        <w:spacing w:line="360" w:lineRule="auto"/>
        <w:rPr>
          <w:rFonts w:hint="eastAsia" w:ascii="宋体" w:hAnsi="宋体" w:cs="宋体"/>
          <w:color w:val="auto"/>
          <w:sz w:val="24"/>
          <w:szCs w:val="24"/>
        </w:rPr>
      </w:pPr>
      <w:r>
        <w:rPr>
          <w:rFonts w:hint="eastAsia" w:ascii="宋体" w:hAnsi="宋体" w:cs="宋体"/>
          <w:color w:val="auto"/>
          <w:sz w:val="24"/>
          <w:szCs w:val="24"/>
        </w:rPr>
        <w:t>本合同签订后</w:t>
      </w:r>
      <w:r>
        <w:rPr>
          <w:rFonts w:hint="eastAsia" w:ascii="宋体" w:hAnsi="宋体" w:cs="宋体"/>
          <w:color w:val="auto"/>
          <w:sz w:val="24"/>
          <w:szCs w:val="24"/>
          <w:lang w:val="en-US" w:eastAsia="zh-CN"/>
        </w:rPr>
        <w:t>10</w:t>
      </w:r>
      <w:r>
        <w:rPr>
          <w:rFonts w:hint="eastAsia" w:ascii="宋体" w:hAnsi="宋体" w:cs="宋体"/>
          <w:color w:val="auto"/>
          <w:sz w:val="24"/>
          <w:szCs w:val="24"/>
        </w:rPr>
        <w:t>个工作日内，乙方须向甲方交纳本项目总金额10%的履约保证金，即人民币</w:t>
      </w:r>
      <w:r>
        <w:rPr>
          <w:rFonts w:hint="eastAsia" w:ascii="宋体" w:hAnsi="宋体" w:cs="宋体"/>
          <w:color w:val="auto"/>
          <w:sz w:val="24"/>
          <w:szCs w:val="24"/>
          <w:u w:val="single"/>
        </w:rPr>
        <w:t xml:space="preserve">  </w:t>
      </w:r>
      <w:r>
        <w:rPr>
          <w:rFonts w:hint="eastAsia" w:ascii="宋体" w:hAnsi="宋体" w:cs="宋体"/>
          <w:color w:val="auto"/>
          <w:sz w:val="24"/>
          <w:szCs w:val="24"/>
        </w:rPr>
        <w:t>元（大写</w:t>
      </w:r>
      <w:r>
        <w:rPr>
          <w:rFonts w:hint="eastAsia" w:ascii="宋体" w:hAnsi="宋体" w:cs="宋体"/>
          <w:color w:val="auto"/>
          <w:sz w:val="24"/>
          <w:szCs w:val="24"/>
          <w:u w:val="single"/>
        </w:rPr>
        <w:t>：人民</w:t>
      </w:r>
      <w:r>
        <w:rPr>
          <w:rFonts w:hint="eastAsia" w:ascii="宋体" w:hAnsi="宋体" w:cs="宋体"/>
          <w:color w:val="auto"/>
          <w:sz w:val="24"/>
          <w:szCs w:val="24"/>
          <w:u w:val="single"/>
          <w:lang w:val="en-US" w:eastAsia="zh-CN"/>
        </w:rPr>
        <w:t xml:space="preserve">币 </w:t>
      </w:r>
      <w:r>
        <w:rPr>
          <w:rFonts w:hint="eastAsia" w:ascii="宋体" w:hAnsi="宋体" w:cs="宋体"/>
          <w:color w:val="auto"/>
          <w:sz w:val="24"/>
          <w:szCs w:val="24"/>
          <w:u w:val="single"/>
        </w:rPr>
        <w:t>元整</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u w:val="single"/>
        </w:rPr>
        <w:t xml:space="preserve"> </w:t>
      </w:r>
      <w:r>
        <w:rPr>
          <w:rFonts w:hint="eastAsia" w:ascii="宋体" w:hAnsi="宋体" w:cs="宋体"/>
          <w:color w:val="auto"/>
          <w:sz w:val="24"/>
          <w:szCs w:val="24"/>
        </w:rPr>
        <w:t>）。同时，乙方须提供本年度符合国家规定的正式发票；甲方应在收到乙方提交的履约保证金及正式发票后</w:t>
      </w:r>
      <w:r>
        <w:rPr>
          <w:rFonts w:hint="eastAsia" w:ascii="宋体" w:hAnsi="宋体" w:cs="宋体"/>
          <w:color w:val="auto"/>
          <w:sz w:val="24"/>
          <w:szCs w:val="24"/>
          <w:lang w:val="en-US" w:eastAsia="zh-CN"/>
        </w:rPr>
        <w:t>15</w:t>
      </w:r>
      <w:r>
        <w:rPr>
          <w:rFonts w:hint="eastAsia" w:ascii="宋体" w:hAnsi="宋体" w:cs="宋体"/>
          <w:color w:val="auto"/>
          <w:sz w:val="24"/>
          <w:szCs w:val="24"/>
        </w:rPr>
        <w:t>个工作日内向乙方支付本项目</w:t>
      </w:r>
      <w:r>
        <w:rPr>
          <w:rFonts w:hint="eastAsia" w:ascii="宋体" w:hAnsi="宋体" w:cs="宋体"/>
          <w:color w:val="auto"/>
          <w:sz w:val="24"/>
          <w:szCs w:val="24"/>
          <w:lang w:val="en-US" w:eastAsia="zh-CN"/>
        </w:rPr>
        <w:t>首付款，计人民币210000元</w:t>
      </w:r>
      <w:r>
        <w:rPr>
          <w:rFonts w:hint="eastAsia" w:ascii="宋体" w:hAnsi="宋体" w:cs="宋体"/>
          <w:color w:val="auto"/>
          <w:sz w:val="24"/>
          <w:szCs w:val="24"/>
        </w:rPr>
        <w:t>（大写</w:t>
      </w:r>
      <w:r>
        <w:rPr>
          <w:rFonts w:hint="eastAsia" w:ascii="宋体" w:hAnsi="宋体" w:cs="宋体"/>
          <w:color w:val="auto"/>
          <w:sz w:val="24"/>
          <w:szCs w:val="24"/>
          <w:u w:val="single"/>
        </w:rPr>
        <w:t>：人民币贰拾壹万元整</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rPr>
        <w:t>）。</w:t>
      </w:r>
    </w:p>
    <w:p w14:paraId="38211E38">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货物</w:t>
      </w:r>
      <w:r>
        <w:rPr>
          <w:rFonts w:hint="eastAsia" w:ascii="宋体" w:hAnsi="宋体" w:cs="宋体"/>
          <w:color w:val="auto"/>
          <w:sz w:val="24"/>
          <w:szCs w:val="24"/>
          <w:lang w:val="en-US" w:eastAsia="zh-CN"/>
        </w:rPr>
        <w:t>制作完成后，</w:t>
      </w:r>
      <w:r>
        <w:rPr>
          <w:rFonts w:hint="eastAsia" w:ascii="宋体" w:hAnsi="宋体" w:cs="宋体"/>
          <w:color w:val="auto"/>
          <w:sz w:val="24"/>
          <w:szCs w:val="24"/>
        </w:rPr>
        <w:t>到达甲方指定地点现场，安装、调试合格并通过甲方验收</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并</w:t>
      </w:r>
      <w:r>
        <w:rPr>
          <w:rFonts w:hint="eastAsia" w:ascii="宋体" w:hAnsi="宋体" w:cs="宋体"/>
          <w:color w:val="auto"/>
          <w:sz w:val="24"/>
          <w:szCs w:val="24"/>
        </w:rPr>
        <w:t>提供本年度符合国家规定的正式发票</w:t>
      </w:r>
      <w:r>
        <w:rPr>
          <w:rFonts w:hint="eastAsia" w:ascii="宋体" w:hAnsi="宋体" w:cs="宋体"/>
          <w:color w:val="auto"/>
          <w:sz w:val="24"/>
          <w:szCs w:val="24"/>
          <w:highlight w:val="none"/>
        </w:rPr>
        <w:t>后</w:t>
      </w:r>
      <w:r>
        <w:rPr>
          <w:rFonts w:hint="eastAsia" w:ascii="宋体" w:hAnsi="宋体" w:cs="宋体"/>
          <w:color w:val="auto"/>
          <w:sz w:val="24"/>
          <w:szCs w:val="24"/>
          <w:highlight w:val="none"/>
          <w:lang w:val="en-US" w:eastAsia="zh-CN"/>
        </w:rPr>
        <w:t>15</w:t>
      </w:r>
      <w:r>
        <w:rPr>
          <w:rFonts w:hint="eastAsia" w:ascii="宋体" w:hAnsi="宋体" w:cs="宋体"/>
          <w:color w:val="auto"/>
          <w:sz w:val="24"/>
          <w:szCs w:val="24"/>
          <w:highlight w:val="none"/>
        </w:rPr>
        <w:t>个工作日内</w:t>
      </w:r>
      <w:r>
        <w:rPr>
          <w:rFonts w:hint="eastAsia" w:ascii="宋体" w:hAnsi="宋体" w:cs="宋体"/>
          <w:color w:val="auto"/>
          <w:sz w:val="24"/>
          <w:szCs w:val="24"/>
        </w:rPr>
        <w:t>，甲方向乙方支付合同</w:t>
      </w:r>
      <w:r>
        <w:rPr>
          <w:rFonts w:hint="eastAsia" w:ascii="宋体" w:hAnsi="宋体" w:cs="宋体"/>
          <w:color w:val="auto"/>
          <w:sz w:val="24"/>
          <w:szCs w:val="24"/>
          <w:lang w:val="en-US" w:eastAsia="zh-CN"/>
        </w:rPr>
        <w:t>剩余尾</w:t>
      </w:r>
      <w:r>
        <w:rPr>
          <w:rFonts w:hint="eastAsia" w:ascii="宋体" w:hAnsi="宋体" w:cs="宋体"/>
          <w:color w:val="auto"/>
          <w:sz w:val="24"/>
          <w:szCs w:val="24"/>
        </w:rPr>
        <w:t>款，计</w:t>
      </w:r>
      <w:r>
        <w:rPr>
          <w:rFonts w:hint="eastAsia" w:ascii="宋体" w:hAnsi="宋体" w:cs="宋体"/>
          <w:color w:val="auto"/>
          <w:sz w:val="24"/>
          <w:szCs w:val="24"/>
          <w:u w:val="single"/>
          <w:lang w:val="en-US" w:eastAsia="zh-CN"/>
        </w:rPr>
        <w:t xml:space="preserve">人民币 </w:t>
      </w:r>
      <w:r>
        <w:rPr>
          <w:rFonts w:hint="eastAsia" w:ascii="宋体" w:hAnsi="宋体" w:cs="宋体"/>
          <w:color w:val="auto"/>
          <w:sz w:val="24"/>
          <w:szCs w:val="24"/>
          <w:u w:val="single"/>
        </w:rPr>
        <w:t xml:space="preserve"> </w:t>
      </w:r>
      <w:r>
        <w:rPr>
          <w:rFonts w:hint="eastAsia" w:ascii="宋体" w:hAnsi="宋体" w:cs="宋体"/>
          <w:color w:val="auto"/>
          <w:sz w:val="24"/>
          <w:szCs w:val="24"/>
          <w:lang w:val="en-US" w:eastAsia="zh-CN"/>
        </w:rPr>
        <w:t>元</w:t>
      </w:r>
      <w:r>
        <w:rPr>
          <w:rFonts w:hint="eastAsia" w:ascii="宋体" w:hAnsi="宋体" w:cs="宋体"/>
          <w:color w:val="auto"/>
          <w:sz w:val="24"/>
          <w:szCs w:val="24"/>
        </w:rPr>
        <w:t>（大写</w:t>
      </w:r>
      <w:r>
        <w:rPr>
          <w:rFonts w:hint="eastAsia" w:ascii="宋体" w:hAnsi="宋体" w:cs="宋体"/>
          <w:color w:val="auto"/>
          <w:sz w:val="24"/>
          <w:szCs w:val="24"/>
          <w:u w:val="single"/>
        </w:rPr>
        <w:t>：人民币</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rPr>
        <w:t>）</w:t>
      </w:r>
      <w:r>
        <w:rPr>
          <w:rFonts w:hint="eastAsia" w:eastAsia="宋体"/>
          <w:color w:val="auto"/>
          <w:lang w:eastAsia="zh-CN"/>
        </w:rPr>
        <w:t>。</w:t>
      </w:r>
      <w:r>
        <w:rPr>
          <w:rFonts w:hint="eastAsia" w:ascii="宋体" w:hAnsi="宋体" w:cs="宋体"/>
          <w:color w:val="auto"/>
          <w:sz w:val="24"/>
          <w:szCs w:val="24"/>
          <w:lang w:eastAsia="zh-CN"/>
        </w:rPr>
        <w:t>乙方向甲方支付合同总价10%的履约保证金，</w:t>
      </w:r>
      <w:r>
        <w:rPr>
          <w:rFonts w:hint="eastAsia" w:ascii="宋体" w:hAnsi="宋体" w:cs="宋体"/>
          <w:color w:val="auto"/>
          <w:sz w:val="24"/>
          <w:szCs w:val="24"/>
          <w:highlight w:val="none"/>
          <w:lang w:val="en-US" w:eastAsia="zh-CN"/>
        </w:rPr>
        <w:t>质保期内，乙方为甲方展览无偿提供本合同船模安装调试服务。</w:t>
      </w:r>
      <w:r>
        <w:rPr>
          <w:rFonts w:hint="eastAsia" w:ascii="宋体" w:hAnsi="宋体" w:cs="宋体"/>
          <w:color w:val="auto"/>
          <w:sz w:val="24"/>
          <w:szCs w:val="24"/>
          <w:highlight w:val="none"/>
          <w:lang w:eastAsia="zh-CN"/>
        </w:rPr>
        <w:t>待质保期满</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lang w:eastAsia="zh-CN"/>
        </w:rPr>
        <w:t>年后甲方向乙方无息退还</w:t>
      </w:r>
      <w:r>
        <w:rPr>
          <w:rFonts w:hint="eastAsia" w:ascii="宋体" w:hAnsi="宋体" w:cs="宋体"/>
          <w:color w:val="auto"/>
          <w:sz w:val="24"/>
          <w:szCs w:val="24"/>
          <w:lang w:eastAsia="zh-CN"/>
        </w:rPr>
        <w:t>履约保证金</w:t>
      </w:r>
      <w:r>
        <w:rPr>
          <w:rFonts w:hint="eastAsia" w:ascii="宋体" w:hAnsi="宋体" w:cs="宋体"/>
          <w:color w:val="auto"/>
          <w:sz w:val="24"/>
          <w:szCs w:val="24"/>
          <w:highlight w:val="none"/>
          <w:lang w:eastAsia="zh-CN"/>
        </w:rPr>
        <w:t>。</w:t>
      </w:r>
    </w:p>
    <w:p w14:paraId="12E05E2C">
      <w:pPr>
        <w:widowControl/>
        <w:spacing w:line="360" w:lineRule="auto"/>
        <w:ind w:firstLine="480" w:firstLineChars="200"/>
        <w:rPr>
          <w:rFonts w:hint="eastAsia" w:ascii="宋体" w:hAnsi="宋体" w:cs="宋体"/>
          <w:color w:val="auto"/>
          <w:kern w:val="0"/>
          <w:sz w:val="24"/>
          <w:szCs w:val="24"/>
        </w:rPr>
      </w:pPr>
      <w:r>
        <w:rPr>
          <w:rFonts w:hint="eastAsia" w:ascii="宋体" w:hAnsi="宋体" w:cs="宋体"/>
          <w:color w:val="auto"/>
          <w:kern w:val="0"/>
          <w:sz w:val="24"/>
          <w:szCs w:val="24"/>
        </w:rPr>
        <w:t>甲方如</w:t>
      </w:r>
      <w:r>
        <w:rPr>
          <w:rFonts w:hint="eastAsia" w:ascii="宋体" w:hAnsi="宋体" w:cs="宋体"/>
          <w:color w:val="auto"/>
          <w:sz w:val="24"/>
          <w:szCs w:val="24"/>
        </w:rPr>
        <w:t>需追加与合同标的相同的货物，</w:t>
      </w:r>
      <w:r>
        <w:rPr>
          <w:rFonts w:hint="eastAsia" w:ascii="宋体" w:hAnsi="宋体" w:cs="宋体"/>
          <w:color w:val="auto"/>
          <w:kern w:val="0"/>
          <w:sz w:val="24"/>
          <w:szCs w:val="24"/>
        </w:rPr>
        <w:t>在本合同金额10%以内的，</w:t>
      </w:r>
      <w:r>
        <w:rPr>
          <w:rFonts w:hint="eastAsia" w:ascii="宋体" w:hAnsi="宋体" w:cs="宋体"/>
          <w:color w:val="auto"/>
          <w:sz w:val="24"/>
          <w:szCs w:val="24"/>
        </w:rPr>
        <w:t>在不改变合同其他条款的前提下，可以与供应商协商签订补充合同，但所有补充合同的采购金额不得超过原合同采购金额的百分之十。</w:t>
      </w:r>
    </w:p>
    <w:p w14:paraId="2F394FF8">
      <w:pPr>
        <w:snapToGrid w:val="0"/>
        <w:spacing w:line="360" w:lineRule="auto"/>
        <w:ind w:firstLine="480" w:firstLineChars="200"/>
        <w:rPr>
          <w:rFonts w:hint="eastAsia" w:ascii="宋体" w:hAnsi="宋体" w:cs="宋体"/>
          <w:color w:val="auto"/>
          <w:sz w:val="24"/>
          <w:szCs w:val="24"/>
        </w:rPr>
      </w:pPr>
    </w:p>
    <w:p w14:paraId="6CC92042">
      <w:pPr>
        <w:numPr>
          <w:ilvl w:val="0"/>
          <w:numId w:val="2"/>
        </w:numPr>
        <w:snapToGrid w:val="0"/>
        <w:spacing w:line="360" w:lineRule="auto"/>
        <w:ind w:firstLine="482" w:firstLineChars="200"/>
        <w:rPr>
          <w:rFonts w:hint="eastAsia" w:ascii="宋体" w:hAnsi="宋体" w:cs="宋体"/>
          <w:b/>
          <w:color w:val="auto"/>
          <w:sz w:val="24"/>
          <w:szCs w:val="24"/>
        </w:rPr>
      </w:pPr>
      <w:r>
        <w:rPr>
          <w:rFonts w:hint="eastAsia" w:ascii="宋体" w:hAnsi="宋体" w:cs="宋体"/>
          <w:b/>
          <w:color w:val="auto"/>
          <w:sz w:val="24"/>
          <w:szCs w:val="24"/>
        </w:rPr>
        <w:t>本合同货物的交货时间及交货地点</w:t>
      </w:r>
    </w:p>
    <w:p w14:paraId="7CFB0A10">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交货时间：202</w:t>
      </w:r>
      <w:r>
        <w:rPr>
          <w:rFonts w:hint="eastAsia" w:ascii="宋体" w:hAnsi="宋体" w:cs="宋体"/>
          <w:color w:val="auto"/>
          <w:sz w:val="24"/>
          <w:szCs w:val="24"/>
          <w:lang w:val="en-US" w:eastAsia="zh-CN"/>
        </w:rPr>
        <w:t>7</w:t>
      </w:r>
      <w:r>
        <w:rPr>
          <w:rFonts w:hint="eastAsia" w:ascii="宋体" w:hAnsi="宋体" w:cs="宋体"/>
          <w:color w:val="auto"/>
          <w:sz w:val="24"/>
          <w:szCs w:val="24"/>
        </w:rPr>
        <w:t>年</w:t>
      </w:r>
      <w:r>
        <w:rPr>
          <w:rFonts w:hint="eastAsia" w:ascii="宋体" w:hAnsi="宋体" w:cs="宋体"/>
          <w:color w:val="auto"/>
          <w:sz w:val="24"/>
          <w:szCs w:val="24"/>
          <w:lang w:val="en-US" w:eastAsia="zh-CN"/>
        </w:rPr>
        <w:t xml:space="preserve">10 </w:t>
      </w:r>
      <w:r>
        <w:rPr>
          <w:rFonts w:hint="eastAsia" w:ascii="宋体" w:hAnsi="宋体" w:cs="宋体"/>
          <w:color w:val="auto"/>
          <w:sz w:val="24"/>
          <w:szCs w:val="24"/>
        </w:rPr>
        <w:t>月</w:t>
      </w:r>
      <w:r>
        <w:rPr>
          <w:rFonts w:hint="eastAsia" w:ascii="宋体" w:hAnsi="宋体" w:cs="宋体"/>
          <w:color w:val="auto"/>
          <w:sz w:val="24"/>
          <w:szCs w:val="24"/>
          <w:lang w:val="en-US" w:eastAsia="zh-CN"/>
        </w:rPr>
        <w:t xml:space="preserve">30 </w:t>
      </w:r>
      <w:r>
        <w:rPr>
          <w:rFonts w:hint="eastAsia" w:ascii="宋体" w:hAnsi="宋体" w:cs="宋体"/>
          <w:color w:val="auto"/>
          <w:sz w:val="24"/>
          <w:szCs w:val="24"/>
        </w:rPr>
        <w:t>日之前。</w:t>
      </w:r>
    </w:p>
    <w:p w14:paraId="219033FB">
      <w:pPr>
        <w:snapToGrid w:val="0"/>
        <w:spacing w:line="360" w:lineRule="auto"/>
        <w:ind w:firstLine="480" w:firstLineChars="200"/>
        <w:rPr>
          <w:rFonts w:hint="eastAsia" w:ascii="宋体" w:hAnsi="宋体" w:cs="宋体"/>
          <w:color w:val="auto"/>
          <w:sz w:val="24"/>
          <w:szCs w:val="24"/>
          <w:u w:val="single"/>
        </w:rPr>
      </w:pPr>
      <w:r>
        <w:rPr>
          <w:rFonts w:hint="eastAsia" w:ascii="宋体" w:hAnsi="宋体" w:cs="宋体"/>
          <w:color w:val="auto"/>
          <w:sz w:val="24"/>
          <w:szCs w:val="24"/>
        </w:rPr>
        <w:t>交货地点：</w:t>
      </w:r>
      <w:r>
        <w:rPr>
          <w:rFonts w:hint="eastAsia" w:ascii="宋体" w:hAnsi="宋体" w:cs="宋体"/>
          <w:color w:val="auto"/>
          <w:sz w:val="24"/>
          <w:szCs w:val="24"/>
          <w:u w:val="single"/>
        </w:rPr>
        <w:t>甲方指定地点</w:t>
      </w:r>
    </w:p>
    <w:p w14:paraId="6B9236BF">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交货方式：</w:t>
      </w:r>
      <w:r>
        <w:rPr>
          <w:rFonts w:hint="eastAsia" w:ascii="宋体" w:hAnsi="宋体" w:cs="宋体"/>
          <w:color w:val="auto"/>
          <w:sz w:val="24"/>
          <w:szCs w:val="24"/>
          <w:u w:val="single"/>
        </w:rPr>
        <w:t>现场交货</w:t>
      </w:r>
    </w:p>
    <w:p w14:paraId="51B65ABF">
      <w:pPr>
        <w:snapToGrid w:val="0"/>
        <w:spacing w:line="360" w:lineRule="auto"/>
        <w:ind w:firstLine="482" w:firstLineChars="200"/>
        <w:rPr>
          <w:rFonts w:hint="eastAsia" w:ascii="宋体" w:hAnsi="宋体" w:cs="宋体"/>
          <w:color w:val="auto"/>
          <w:sz w:val="24"/>
          <w:szCs w:val="24"/>
        </w:rPr>
      </w:pPr>
      <w:r>
        <w:rPr>
          <w:rFonts w:hint="eastAsia" w:ascii="宋体" w:hAnsi="宋体" w:cs="宋体"/>
          <w:b/>
          <w:color w:val="auto"/>
          <w:sz w:val="24"/>
          <w:szCs w:val="24"/>
        </w:rPr>
        <w:t>6. 合同的生效</w:t>
      </w:r>
    </w:p>
    <w:p w14:paraId="19FF6AD2">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本合同一式陆份，双方各执叁份，经双方授权代表签署并加盖单位印章后生效。</w:t>
      </w:r>
    </w:p>
    <w:p w14:paraId="1A8B54E5">
      <w:pPr>
        <w:snapToGrid w:val="0"/>
        <w:spacing w:line="360" w:lineRule="auto"/>
        <w:ind w:firstLine="480" w:firstLineChars="200"/>
        <w:rPr>
          <w:rFonts w:hint="eastAsia" w:ascii="宋体" w:hAnsi="宋体" w:cs="宋体"/>
          <w:color w:val="auto"/>
          <w:sz w:val="24"/>
          <w:szCs w:val="24"/>
        </w:rPr>
      </w:pPr>
    </w:p>
    <w:p w14:paraId="48F35810">
      <w:pPr>
        <w:spacing w:line="360" w:lineRule="auto"/>
        <w:rPr>
          <w:rFonts w:hint="eastAsia" w:ascii="宋体" w:hAnsi="宋体" w:cs="宋体"/>
          <w:color w:val="auto"/>
          <w:sz w:val="24"/>
          <w:szCs w:val="24"/>
        </w:rPr>
      </w:pPr>
      <w:r>
        <w:rPr>
          <w:rFonts w:hint="eastAsia" w:ascii="宋体" w:hAnsi="宋体" w:cs="宋体"/>
          <w:color w:val="auto"/>
          <w:sz w:val="24"/>
          <w:szCs w:val="24"/>
        </w:rPr>
        <w:br w:type="page"/>
      </w:r>
    </w:p>
    <w:p w14:paraId="2D795981">
      <w:pPr>
        <w:spacing w:line="360" w:lineRule="auto"/>
        <w:rPr>
          <w:rFonts w:hint="eastAsia" w:ascii="宋体" w:hAnsi="宋体" w:cs="宋体"/>
          <w:color w:val="auto"/>
          <w:sz w:val="28"/>
          <w:szCs w:val="28"/>
        </w:rPr>
      </w:pPr>
      <w:r>
        <w:rPr>
          <w:rFonts w:hint="eastAsia" w:ascii="宋体" w:hAnsi="宋体" w:cs="宋体"/>
          <w:color w:val="auto"/>
          <w:sz w:val="24"/>
        </w:rPr>
        <w:t>（此页为签署页）</w:t>
      </w:r>
    </w:p>
    <w:p w14:paraId="22359C00">
      <w:pPr>
        <w:snapToGrid w:val="0"/>
        <w:spacing w:line="360" w:lineRule="auto"/>
        <w:rPr>
          <w:rFonts w:hint="eastAsia" w:ascii="宋体" w:hAnsi="宋体" w:cs="宋体"/>
          <w:color w:val="auto"/>
          <w:sz w:val="24"/>
          <w:szCs w:val="24"/>
        </w:rPr>
      </w:pPr>
      <w:r>
        <w:rPr>
          <w:color w:val="auto"/>
          <w:sz w:val="24"/>
        </w:rPr>
        <w:pict>
          <v:shape id="文本框 4" o:spid="_x0000_s1027" o:spt="202" type="#_x0000_t202" style="position:absolute;left:0pt;margin-left:221.75pt;margin-top:23.3pt;height:654.85pt;width:208.2pt;z-index:251660288;mso-width-relative:page;mso-height-relative:page;" fillcolor="#FFFFFF" filled="t" stroked="f" coordsize="21600,21600" o:gfxdata="UEsDBAoAAAAAAIdO4kAAAAAAAAAAAAAAAAAEAAAAZHJzL1BLAwQUAAAACACHTuJA4dQDitYAAAAL&#10;AQAADwAAAGRycy9kb3ducmV2LnhtbE2Py07DMBBF90j8gzVI7Kjjpq3aEKcLJLZI9LV24yGOsMdR&#10;7D6/nmEFy9Ec3Xtuvb4GL844pj6SBjUpQCC10fbUadht31+WIFI2ZI2PhBpumGDdPD7UprLxQp94&#10;3uROcAilymhwOQ+VlKl1GEyaxAGJf19xDCbzOXbSjubC4cHLaVEsZDA9cYMzA745bL83p6Dh0IX7&#10;Ya+G0dngZ/Rxv213sdf6+UkVryAyXvMfDL/6rA4NOx3jiWwSXsOsXK0Y1TBVPIGB5XxRgjgyWZZq&#10;DrKp5f8NzQ9QSwMEFAAAAAgAh07iQA06TCFhAgAAqgQAAA4AAABkcnMvZTJvRG9jLnhtbK1UzW4T&#10;MRC+I/EOlu9087NJ0yibKrQKQqpopYI4O15v1pLtMbaT3fIA8AY9ceHOc/U5GHs3bSgceiAHZ8bz&#10;5RvPNzNZnLdakb1wXoIp6PBkQIkwHEpptgX99HH9ZkaJD8yUTIERBb0Tnp4vX79aNHYuRlCDKoUj&#10;SGL8vLEFrUOw8yzzvBaa+ROwwmCwAqdZQNdts9KxBtm1ykaDwTRrwJXWARfe4+1lF6Q9o3sJIVSV&#10;5OIS+E4LEzpWJxQLWJKvpfV0mV5bVYKH66ryIhBVUKw0pBOToL2JZ7ZcsPnWMVtL3j+BveQJz2rS&#10;TBpM+kh1yQIjOyf/otKSO/BQhRMOOusKSYpgFcPBM21ua2ZFqgWl9vZRdP//aPmH/Y0jsixoTolh&#10;Ghv+cP/94cevh5/fSB7laayfI+rWIi60b6HFoTnce7yMVbeV0/Eb6yEYH5+Np+PphJI7xI7z2Wne&#10;Cy3aQDgCRtM8H+Il4YiYjYfTydkkcmZPVNb58E6AJtEoqMNOJoHZ/sqHDnqAxMwelCzXUqnkuO3m&#10;QjmyZ9j1dfr07H/AlCFNQafjySAxG4i/76iViTwiDVCfL+rQ1Rut0G7aXpwNlHeojYNuuLzla4lv&#10;vmI+3DCH04R14r6FazwqBZgSeouSGtzXf91HPDYZo5Q0OJ0F9V92zAlK1HuD7T8b5lG+kJx8cjpC&#10;xx1HNscRs9MXgFIMcbMtT2bEB3UwKwf6M67lKmbFEDMccxc0HMyL0O0MrjUXq1UC4QBbFq7MreWR&#10;OgpmYLULUMnUoChTpw02Njo4wqnF/brFHTn2E+rpL2b5G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NAEAABbQ29udGVudF9UeXBlc10ueG1sUEsB&#10;AhQACgAAAAAAh07iQAAAAAAAAAAAAAAAAAYAAAAAAAAAAAAQAAAAsgMAAF9yZWxzL1BLAQIUABQA&#10;AAAIAIdO4kCKFGY80QAAAJQBAAALAAAAAAAAAAEAIAAAANYDAABfcmVscy8ucmVsc1BLAQIUAAoA&#10;AAAAAIdO4kAAAAAAAAAAAAAAAAAEAAAAAAAAAAAAEAAAAAAAAABkcnMvUEsBAhQAFAAAAAgAh07i&#10;QOHUA4rWAAAACwEAAA8AAAAAAAAAAQAgAAAAIgAAAGRycy9kb3ducmV2LnhtbFBLAQIUABQAAAAI&#10;AIdO4kANOkwhYQIAAKoEAAAOAAAAAAAAAAEAIAAAACUBAABkcnMvZTJvRG9jLnhtbFBLBQYAAAAA&#10;BgAGAFkBAAD4BQAAAAA=&#10;">
            <v:path/>
            <v:fill on="t" focussize="0,0"/>
            <v:stroke on="f" weight="0.5pt"/>
            <v:imagedata o:title=""/>
            <o:lock v:ext="edit" aspectratio="f"/>
            <v:textbox>
              <w:txbxContent>
                <w:p w14:paraId="6778BC58">
                  <w:pPr>
                    <w:pStyle w:val="10"/>
                    <w:tabs>
                      <w:tab w:val="left" w:pos="4539"/>
                    </w:tabs>
                    <w:spacing w:beforeAutospacing="0" w:afterAutospacing="0" w:line="360" w:lineRule="auto"/>
                    <w:jc w:val="both"/>
                    <w:rPr>
                      <w:rFonts w:hint="default" w:ascii="宋体" w:hAnsi="宋体" w:eastAsia="宋体" w:cs="宋体"/>
                      <w:sz w:val="24"/>
                      <w:szCs w:val="24"/>
                      <w:lang w:val="en-US" w:eastAsia="zh-CN"/>
                    </w:rPr>
                  </w:pPr>
                  <w:r>
                    <w:rPr>
                      <w:rFonts w:hint="eastAsia" w:ascii="宋体" w:hAnsi="宋体" w:cs="宋体"/>
                      <w:sz w:val="24"/>
                      <w:szCs w:val="24"/>
                      <w:lang w:val="en-US" w:eastAsia="zh-CN"/>
                    </w:rPr>
                    <w:t>乙</w:t>
                  </w:r>
                  <w:r>
                    <w:rPr>
                      <w:rFonts w:hint="eastAsia" w:ascii="宋体" w:hAnsi="宋体" w:cs="宋体"/>
                      <w:sz w:val="24"/>
                      <w:szCs w:val="24"/>
                    </w:rPr>
                    <w:t>方：</w:t>
                  </w:r>
                </w:p>
                <w:p w14:paraId="7C8789BD">
                  <w:pPr>
                    <w:pStyle w:val="10"/>
                    <w:tabs>
                      <w:tab w:val="left" w:pos="4539"/>
                    </w:tabs>
                    <w:spacing w:beforeAutospacing="0" w:afterAutospacing="0" w:line="360" w:lineRule="auto"/>
                    <w:jc w:val="both"/>
                    <w:rPr>
                      <w:rFonts w:hint="eastAsia" w:hAnsi="宋体" w:cs="宋体"/>
                      <w:szCs w:val="24"/>
                    </w:rPr>
                  </w:pPr>
                  <w:r>
                    <w:rPr>
                      <w:rFonts w:ascii="宋体" w:hAnsi="宋体" w:cs="宋体"/>
                      <w:kern w:val="2"/>
                      <w:szCs w:val="24"/>
                    </w:rPr>
                    <w:t xml:space="preserve">          </w:t>
                  </w:r>
                </w:p>
                <w:p w14:paraId="63E3BAA2">
                  <w:pPr>
                    <w:pStyle w:val="10"/>
                    <w:tabs>
                      <w:tab w:val="left" w:pos="4539"/>
                    </w:tabs>
                    <w:spacing w:beforeAutospacing="0" w:afterAutospacing="0" w:line="360" w:lineRule="auto"/>
                    <w:jc w:val="both"/>
                    <w:rPr>
                      <w:rFonts w:hint="eastAsia" w:hAnsi="宋体" w:cs="宋体"/>
                      <w:szCs w:val="24"/>
                    </w:rPr>
                  </w:pPr>
                  <w:r>
                    <w:rPr>
                      <w:rFonts w:hint="eastAsia" w:ascii="宋体" w:hAnsi="宋体" w:cs="宋体"/>
                      <w:kern w:val="2"/>
                      <w:szCs w:val="24"/>
                    </w:rPr>
                    <w:t>法定代表人：</w:t>
                  </w:r>
                  <w:r>
                    <w:rPr>
                      <w:rFonts w:ascii="宋体" w:hAnsi="宋体" w:cs="宋体"/>
                      <w:kern w:val="2"/>
                      <w:szCs w:val="24"/>
                    </w:rPr>
                    <w:t xml:space="preserve">                          </w:t>
                  </w:r>
                </w:p>
                <w:p w14:paraId="5193779D">
                  <w:pPr>
                    <w:pStyle w:val="10"/>
                    <w:tabs>
                      <w:tab w:val="left" w:pos="4539"/>
                    </w:tabs>
                    <w:spacing w:beforeAutospacing="0" w:afterAutospacing="0" w:line="360" w:lineRule="auto"/>
                    <w:jc w:val="both"/>
                    <w:rPr>
                      <w:rFonts w:hint="eastAsia" w:hAnsi="宋体" w:cs="宋体"/>
                      <w:szCs w:val="24"/>
                    </w:rPr>
                  </w:pPr>
                  <w:r>
                    <w:rPr>
                      <w:rFonts w:hint="eastAsia" w:ascii="宋体" w:hAnsi="宋体" w:cs="宋体"/>
                      <w:kern w:val="2"/>
                      <w:szCs w:val="24"/>
                    </w:rPr>
                    <w:t>（或负责人）</w:t>
                  </w:r>
                  <w:r>
                    <w:rPr>
                      <w:rFonts w:ascii="宋体" w:hAnsi="宋体" w:cs="宋体"/>
                      <w:kern w:val="2"/>
                      <w:szCs w:val="24"/>
                    </w:rPr>
                    <w:t xml:space="preserve">                          </w:t>
                  </w:r>
                </w:p>
                <w:p w14:paraId="283398F7">
                  <w:pPr>
                    <w:pStyle w:val="10"/>
                    <w:tabs>
                      <w:tab w:val="left" w:pos="4539"/>
                    </w:tabs>
                    <w:spacing w:beforeAutospacing="0" w:afterAutospacing="0" w:line="360" w:lineRule="auto"/>
                    <w:jc w:val="both"/>
                    <w:rPr>
                      <w:rFonts w:hint="eastAsia" w:hAnsi="宋体" w:cs="宋体"/>
                      <w:szCs w:val="24"/>
                    </w:rPr>
                  </w:pPr>
                  <w:r>
                    <w:rPr>
                      <w:rFonts w:hint="eastAsia" w:ascii="宋体" w:hAnsi="宋体" w:cs="宋体"/>
                      <w:kern w:val="2"/>
                      <w:szCs w:val="24"/>
                    </w:rPr>
                    <w:t>授权代表（签字）</w:t>
                  </w:r>
                  <w:r>
                    <w:rPr>
                      <w:rFonts w:ascii="宋体" w:hAnsi="宋体" w:cs="宋体"/>
                      <w:kern w:val="2"/>
                      <w:szCs w:val="24"/>
                    </w:rPr>
                    <w:t xml:space="preserve">                    </w:t>
                  </w:r>
                </w:p>
                <w:p w14:paraId="51060E5B">
                  <w:pPr>
                    <w:pStyle w:val="10"/>
                    <w:tabs>
                      <w:tab w:val="left" w:pos="4539"/>
                    </w:tabs>
                    <w:spacing w:beforeAutospacing="0" w:afterAutospacing="0" w:line="360" w:lineRule="auto"/>
                    <w:ind w:left="4560" w:hanging="4560" w:hangingChars="1900"/>
                    <w:jc w:val="both"/>
                    <w:rPr>
                      <w:rFonts w:hint="eastAsia" w:ascii="宋体" w:hAnsi="宋体" w:cs="宋体"/>
                      <w:kern w:val="2"/>
                      <w:szCs w:val="24"/>
                    </w:rPr>
                  </w:pPr>
                </w:p>
                <w:p w14:paraId="031B29D5">
                  <w:pPr>
                    <w:pStyle w:val="10"/>
                    <w:tabs>
                      <w:tab w:val="left" w:pos="4539"/>
                    </w:tabs>
                    <w:spacing w:beforeAutospacing="0" w:afterAutospacing="0" w:line="360" w:lineRule="auto"/>
                    <w:ind w:left="4560" w:hanging="4560" w:hangingChars="1900"/>
                    <w:jc w:val="both"/>
                    <w:rPr>
                      <w:rFonts w:hint="eastAsia" w:ascii="宋体" w:hAnsi="宋体" w:cs="宋体"/>
                      <w:kern w:val="2"/>
                      <w:szCs w:val="24"/>
                    </w:rPr>
                  </w:pPr>
                  <w:r>
                    <w:rPr>
                      <w:rFonts w:hint="eastAsia" w:ascii="宋体" w:hAnsi="宋体" w:cs="宋体"/>
                      <w:kern w:val="2"/>
                      <w:szCs w:val="24"/>
                    </w:rPr>
                    <w:t>单位地址：</w:t>
                  </w:r>
                </w:p>
                <w:p w14:paraId="181EA5A2">
                  <w:pPr>
                    <w:pStyle w:val="10"/>
                    <w:tabs>
                      <w:tab w:val="left" w:pos="4539"/>
                    </w:tabs>
                    <w:spacing w:beforeAutospacing="0" w:afterAutospacing="0" w:line="360" w:lineRule="auto"/>
                    <w:ind w:left="4560" w:hanging="4560" w:hangingChars="1900"/>
                    <w:jc w:val="both"/>
                    <w:rPr>
                      <w:rFonts w:hint="eastAsia" w:hAnsi="宋体" w:cs="宋体"/>
                      <w:szCs w:val="24"/>
                    </w:rPr>
                  </w:pPr>
                  <w:r>
                    <w:rPr>
                      <w:rFonts w:ascii="宋体" w:hAnsi="宋体" w:cs="宋体"/>
                      <w:kern w:val="2"/>
                      <w:szCs w:val="24"/>
                    </w:rPr>
                    <w:t xml:space="preserve">         </w:t>
                  </w:r>
                  <w:r>
                    <w:rPr>
                      <w:rFonts w:hint="eastAsia" w:ascii="宋体" w:hAnsi="宋体" w:cs="宋体"/>
                      <w:kern w:val="2"/>
                      <w:szCs w:val="24"/>
                    </w:rPr>
                    <w:t xml:space="preserve">         </w:t>
                  </w:r>
                  <w:r>
                    <w:rPr>
                      <w:rFonts w:hint="eastAsia" w:ascii="宋体" w:hAnsi="宋体" w:cs="宋体"/>
                      <w:kern w:val="2"/>
                      <w:szCs w:val="24"/>
                      <w:lang w:val="en-US" w:eastAsia="zh-CN"/>
                    </w:rPr>
                    <w:t xml:space="preserve">  </w:t>
                  </w:r>
                  <w:r>
                    <w:rPr>
                      <w:rFonts w:ascii="宋体" w:hAnsi="宋体" w:cs="宋体"/>
                      <w:kern w:val="2"/>
                      <w:szCs w:val="24"/>
                    </w:rPr>
                    <w:t xml:space="preserve">                                               </w:t>
                  </w:r>
                </w:p>
                <w:p w14:paraId="29EE2CAA">
                  <w:pPr>
                    <w:pStyle w:val="10"/>
                    <w:tabs>
                      <w:tab w:val="left" w:pos="4539"/>
                    </w:tabs>
                    <w:spacing w:beforeAutospacing="0" w:afterAutospacing="0" w:line="360" w:lineRule="auto"/>
                    <w:jc w:val="both"/>
                    <w:rPr>
                      <w:rFonts w:hint="eastAsia" w:hAnsi="宋体" w:cs="宋体"/>
                      <w:szCs w:val="24"/>
                    </w:rPr>
                  </w:pPr>
                  <w:r>
                    <w:rPr>
                      <w:rFonts w:hint="eastAsia" w:ascii="宋体" w:hAnsi="宋体" w:cs="宋体"/>
                      <w:kern w:val="2"/>
                      <w:szCs w:val="24"/>
                    </w:rPr>
                    <w:t>邮政编码：</w:t>
                  </w:r>
                  <w:r>
                    <w:rPr>
                      <w:rFonts w:ascii="宋体" w:hAnsi="宋体" w:cs="宋体"/>
                      <w:kern w:val="2"/>
                      <w:szCs w:val="24"/>
                    </w:rPr>
                    <w:t xml:space="preserve">                             </w:t>
                  </w:r>
                </w:p>
                <w:p w14:paraId="4E0EADDD">
                  <w:pPr>
                    <w:rPr>
                      <w:rFonts w:hint="eastAsia" w:ascii="宋体" w:hAnsi="宋体" w:cs="宋体"/>
                      <w:szCs w:val="24"/>
                    </w:rPr>
                  </w:pPr>
                  <w:r>
                    <w:rPr>
                      <w:rFonts w:hint="eastAsia" w:ascii="宋体" w:hAnsi="宋体" w:cs="宋体"/>
                      <w:sz w:val="24"/>
                      <w:szCs w:val="24"/>
                    </w:rPr>
                    <w:t>电</w:t>
                  </w:r>
                  <w:r>
                    <w:rPr>
                      <w:rFonts w:ascii="宋体" w:hAnsi="宋体" w:cs="宋体"/>
                      <w:sz w:val="24"/>
                      <w:szCs w:val="24"/>
                    </w:rPr>
                    <w:t xml:space="preserve">    </w:t>
                  </w:r>
                  <w:r>
                    <w:rPr>
                      <w:rFonts w:hint="eastAsia" w:ascii="宋体" w:hAnsi="宋体" w:cs="宋体"/>
                      <w:sz w:val="24"/>
                      <w:szCs w:val="24"/>
                    </w:rPr>
                    <w:t>话：</w:t>
                  </w:r>
                  <w:r>
                    <w:rPr>
                      <w:rFonts w:ascii="宋体" w:hAnsi="宋体" w:cs="宋体"/>
                      <w:sz w:val="24"/>
                      <w:szCs w:val="24"/>
                    </w:rPr>
                    <w:t xml:space="preserve">                </w:t>
                  </w:r>
                </w:p>
                <w:p w14:paraId="1F17EC01">
                  <w:pPr>
                    <w:rPr>
                      <w:rFonts w:hint="eastAsia" w:hAnsi="宋体" w:cs="宋体"/>
                      <w:szCs w:val="24"/>
                    </w:rPr>
                  </w:pPr>
                  <w:r>
                    <w:rPr>
                      <w:rFonts w:hint="eastAsia" w:ascii="宋体" w:hAnsi="宋体" w:cs="宋体"/>
                      <w:szCs w:val="24"/>
                    </w:rPr>
                    <w:t>传</w:t>
                  </w:r>
                  <w:r>
                    <w:rPr>
                      <w:rFonts w:ascii="宋体" w:hAnsi="宋体" w:cs="宋体"/>
                      <w:szCs w:val="24"/>
                    </w:rPr>
                    <w:t xml:space="preserve">    真：                            </w:t>
                  </w:r>
                  <w:r>
                    <w:rPr>
                      <w:rFonts w:hint="eastAsia" w:ascii="宋体" w:hAnsi="宋体" w:cs="宋体"/>
                      <w:szCs w:val="24"/>
                    </w:rPr>
                    <w:t xml:space="preserve">  </w:t>
                  </w:r>
                  <w:r>
                    <w:rPr>
                      <w:rFonts w:hint="eastAsia" w:ascii="宋体" w:hAnsi="宋体" w:cs="宋体"/>
                      <w:szCs w:val="24"/>
                      <w:lang w:val="en-US" w:eastAsia="zh-CN"/>
                    </w:rPr>
                    <w:t xml:space="preserve">    </w:t>
                  </w:r>
                  <w:r>
                    <w:rPr>
                      <w:rFonts w:ascii="宋体" w:hAnsi="宋体" w:cs="宋体"/>
                      <w:szCs w:val="24"/>
                    </w:rPr>
                    <w:t xml:space="preserve"> </w:t>
                  </w:r>
                </w:p>
                <w:p w14:paraId="4FB46110">
                  <w:pPr>
                    <w:pStyle w:val="10"/>
                    <w:spacing w:beforeAutospacing="0" w:afterAutospacing="0" w:line="360" w:lineRule="auto"/>
                    <w:ind w:left="5760" w:hanging="5760" w:hangingChars="2400"/>
                    <w:jc w:val="both"/>
                    <w:rPr>
                      <w:rFonts w:hint="eastAsia" w:ascii="宋体" w:hAnsi="宋体" w:cs="宋体"/>
                      <w:kern w:val="2"/>
                      <w:szCs w:val="24"/>
                    </w:rPr>
                  </w:pPr>
                  <w:r>
                    <w:rPr>
                      <w:rFonts w:hint="eastAsia" w:ascii="宋体" w:hAnsi="宋体" w:cs="宋体"/>
                      <w:kern w:val="2"/>
                      <w:szCs w:val="24"/>
                    </w:rPr>
                    <w:t xml:space="preserve">开户银行： </w:t>
                  </w:r>
                  <w:r>
                    <w:rPr>
                      <w:rFonts w:ascii="宋体" w:hAnsi="宋体" w:cs="宋体"/>
                      <w:kern w:val="2"/>
                      <w:szCs w:val="24"/>
                    </w:rPr>
                    <w:t xml:space="preserve">      </w:t>
                  </w:r>
                  <w:r>
                    <w:rPr>
                      <w:rFonts w:hint="eastAsia" w:ascii="宋体" w:hAnsi="宋体" w:cs="宋体"/>
                      <w:kern w:val="2"/>
                      <w:szCs w:val="24"/>
                      <w:lang w:val="en-US" w:eastAsia="zh-CN"/>
                    </w:rPr>
                    <w:t xml:space="preserve"> </w:t>
                  </w:r>
                  <w:r>
                    <w:rPr>
                      <w:rFonts w:hint="eastAsia" w:ascii="宋体" w:hAnsi="宋体" w:cs="宋体"/>
                      <w:kern w:val="2"/>
                      <w:szCs w:val="24"/>
                    </w:rPr>
                    <w:t xml:space="preserve"> </w:t>
                  </w:r>
                </w:p>
                <w:p w14:paraId="5140F523">
                  <w:pPr>
                    <w:pStyle w:val="10"/>
                    <w:tabs>
                      <w:tab w:val="left" w:pos="4539"/>
                    </w:tabs>
                    <w:spacing w:beforeAutospacing="0" w:afterAutospacing="0" w:line="360" w:lineRule="auto"/>
                    <w:jc w:val="both"/>
                    <w:rPr>
                      <w:rFonts w:hint="eastAsia" w:hAnsi="宋体" w:cs="宋体"/>
                      <w:b/>
                      <w:bCs/>
                      <w:szCs w:val="24"/>
                    </w:rPr>
                  </w:pPr>
                  <w:r>
                    <w:rPr>
                      <w:rFonts w:hint="eastAsia" w:ascii="宋体" w:hAnsi="宋体" w:cs="宋体"/>
                      <w:kern w:val="2"/>
                      <w:szCs w:val="24"/>
                    </w:rPr>
                    <w:t>银行帐号：</w:t>
                  </w:r>
                  <w:r>
                    <w:rPr>
                      <w:rFonts w:ascii="宋体" w:hAnsi="宋体" w:cs="宋体"/>
                      <w:kern w:val="2"/>
                      <w:szCs w:val="24"/>
                    </w:rPr>
                    <w:t xml:space="preserve">         </w:t>
                  </w:r>
                  <w:r>
                    <w:rPr>
                      <w:rFonts w:hint="eastAsia" w:ascii="宋体" w:hAnsi="宋体" w:cs="宋体"/>
                      <w:kern w:val="2"/>
                      <w:szCs w:val="24"/>
                    </w:rPr>
                    <w:t xml:space="preserve"> </w:t>
                  </w:r>
                </w:p>
                <w:p w14:paraId="483705A1">
                  <w:pPr>
                    <w:pStyle w:val="10"/>
                    <w:tabs>
                      <w:tab w:val="left" w:pos="4539"/>
                    </w:tabs>
                    <w:spacing w:beforeAutospacing="0" w:afterAutospacing="0" w:line="360" w:lineRule="auto"/>
                    <w:jc w:val="both"/>
                    <w:rPr>
                      <w:rFonts w:hint="eastAsia" w:hAnsi="宋体" w:cs="宋体"/>
                      <w:szCs w:val="24"/>
                    </w:rPr>
                  </w:pPr>
                  <w:r>
                    <w:rPr>
                      <w:rFonts w:hint="eastAsia" w:ascii="宋体" w:hAnsi="宋体" w:cs="宋体"/>
                      <w:kern w:val="2"/>
                      <w:szCs w:val="24"/>
                    </w:rPr>
                    <w:t>项目负责人：</w:t>
                  </w:r>
                  <w:r>
                    <w:rPr>
                      <w:rFonts w:ascii="宋体" w:hAnsi="宋体" w:cs="宋体"/>
                      <w:kern w:val="2"/>
                      <w:szCs w:val="24"/>
                    </w:rPr>
                    <w:t xml:space="preserve">                             </w:t>
                  </w:r>
                </w:p>
                <w:p w14:paraId="64B33708">
                  <w:pPr>
                    <w:pStyle w:val="10"/>
                    <w:tabs>
                      <w:tab w:val="left" w:pos="4539"/>
                    </w:tabs>
                    <w:spacing w:beforeAutospacing="0" w:afterAutospacing="0" w:line="360" w:lineRule="auto"/>
                    <w:jc w:val="both"/>
                    <w:rPr>
                      <w:rFonts w:hint="eastAsia" w:hAnsi="宋体" w:cs="宋体"/>
                      <w:szCs w:val="24"/>
                    </w:rPr>
                  </w:pPr>
                  <w:r>
                    <w:rPr>
                      <w:rFonts w:hint="eastAsia" w:ascii="宋体" w:hAnsi="宋体" w:cs="宋体"/>
                      <w:kern w:val="2"/>
                      <w:szCs w:val="24"/>
                    </w:rPr>
                    <w:t>联系方式：</w:t>
                  </w:r>
                  <w:r>
                    <w:rPr>
                      <w:rFonts w:ascii="宋体" w:hAnsi="宋体" w:cs="宋体"/>
                      <w:kern w:val="2"/>
                      <w:szCs w:val="24"/>
                    </w:rPr>
                    <w:t xml:space="preserve">                                   </w:t>
                  </w:r>
                </w:p>
                <w:p w14:paraId="31A44816">
                  <w:pPr>
                    <w:spacing w:line="360" w:lineRule="auto"/>
                    <w:rPr>
                      <w:rFonts w:hint="eastAsia" w:ascii="宋体" w:hAnsi="宋体" w:cs="宋体"/>
                      <w:sz w:val="24"/>
                      <w:szCs w:val="24"/>
                    </w:rPr>
                  </w:pPr>
                  <w:r>
                    <w:rPr>
                      <w:rFonts w:hint="eastAsia" w:ascii="宋体" w:hAnsi="宋体" w:cs="宋体"/>
                      <w:sz w:val="24"/>
                      <w:szCs w:val="24"/>
                    </w:rPr>
                    <w:t>签署时间：</w:t>
                  </w:r>
                  <w:r>
                    <w:rPr>
                      <w:rFonts w:ascii="宋体" w:hAnsi="宋体" w:cs="宋体"/>
                      <w:sz w:val="24"/>
                      <w:szCs w:val="24"/>
                    </w:rPr>
                    <w:t xml:space="preserve">  </w:t>
                  </w:r>
                  <w:r>
                    <w:rPr>
                      <w:rFonts w:hint="eastAsia" w:ascii="宋体" w:hAnsi="宋体" w:cs="宋体"/>
                      <w:sz w:val="24"/>
                      <w:szCs w:val="24"/>
                    </w:rPr>
                    <w:t>年</w:t>
                  </w:r>
                  <w:r>
                    <w:rPr>
                      <w:rFonts w:ascii="宋体" w:hAnsi="宋体" w:cs="宋体"/>
                      <w:sz w:val="24"/>
                      <w:szCs w:val="24"/>
                    </w:rPr>
                    <w:t xml:space="preserve">  </w:t>
                  </w:r>
                  <w:r>
                    <w:rPr>
                      <w:rFonts w:hint="eastAsia" w:ascii="宋体" w:hAnsi="宋体" w:cs="宋体"/>
                      <w:sz w:val="24"/>
                      <w:szCs w:val="24"/>
                    </w:rPr>
                    <w:t>月</w:t>
                  </w:r>
                  <w:r>
                    <w:rPr>
                      <w:rFonts w:ascii="宋体" w:hAnsi="宋体" w:cs="宋体"/>
                      <w:sz w:val="24"/>
                      <w:szCs w:val="24"/>
                    </w:rPr>
                    <w:t xml:space="preserve">  </w:t>
                  </w:r>
                  <w:r>
                    <w:rPr>
                      <w:rFonts w:hint="eastAsia" w:ascii="宋体" w:hAnsi="宋体" w:cs="宋体"/>
                      <w:sz w:val="24"/>
                      <w:szCs w:val="24"/>
                    </w:rPr>
                    <w:t>日</w:t>
                  </w:r>
                  <w:r>
                    <w:rPr>
                      <w:rFonts w:ascii="宋体" w:hAnsi="宋体" w:cs="宋体"/>
                      <w:sz w:val="24"/>
                      <w:szCs w:val="24"/>
                    </w:rPr>
                    <w:t xml:space="preserve">               </w:t>
                  </w:r>
                </w:p>
              </w:txbxContent>
            </v:textbox>
          </v:shape>
        </w:pict>
      </w:r>
      <w:r>
        <w:rPr>
          <w:color w:val="auto"/>
          <w:sz w:val="24"/>
        </w:rPr>
        <w:pict>
          <v:shape id="文本框 3" o:spid="_x0000_s1026" o:spt="202" type="#_x0000_t202" style="position:absolute;left:0pt;margin-left:-9.55pt;margin-top:22.95pt;height:654.85pt;width:203.65pt;z-index:251659264;mso-width-relative:page;mso-height-relative:page;" fillcolor="#FFFFFF" filled="t" stroked="f" coordsize="21600,21600" o:gfxdata="UEsDBAoAAAAAAIdO4kAAAAAAAAAAAAAAAAAEAAAAZHJzL1BLAwQUAAAACACHTuJAdLSBsNcAAAAL&#10;AQAADwAAAGRycy9kb3ducmV2LnhtbE2Py2rDMBBF94X8g5hAd4kkuwTHtZxFodtCkzRrxVIsU2lk&#10;LOX59Z2u2uVwD/eeaTa34NnFTmmIqEAuBTCLXTQD9gr2u/dFBSxljUb7iFbB3SbYtLOnRtcmXvHT&#10;Xra5Z1SCqdYKXM5jzXnqnA06LeNokbJTnILOdE49N5O+UnnwvBBixYMekBacHu2bs9339hwUHPrw&#10;OHzJcXIm+Bf8eNx3+zgo9TyX4hVYtrf8B8OvPqlDS07HeEaTmFewkGtJqIJCrIERUFZVAexIZFmK&#10;FfC24f9/aH8AUEsDBBQAAAAIAIdO4kDlI/QHYwIAAKoEAAAOAAAAZHJzL2Uyb0RvYy54bWytVM1u&#10;2zAMvg/YOwi6r7bz1zSoU2QtMgwo1gLdsLMiy7EASdQkJXb2ANsb9LTL7nuuPMcoOWm7boceloND&#10;ip8/ih9Jn190WpGtcF6CKWlxklMiDIdKmnVJP31cvplS4gMzFVNgREl3wtOL+etX562diQE0oCrh&#10;CJIYP2ttSZsQ7CzLPG+EZv4ErDAYrMFpFtB166xyrEV2rbJBnk+yFlxlHXDhPZ5e9UF6YHQvIYS6&#10;llxcAd9oYULP6oRiAUvyjbSeztNt61rwcFPXXgSiSoqVhvTEJGiv4jObn7PZ2jHbSH64AnvJFZ7V&#10;pJk0mPSB6ooFRjZO/kWlJXfgoQ4nHHTWF5IUwSqK/Jk2dw2zItWCUnv7ILr/f7T8w/bWEVmVdEiJ&#10;YRobvr//vv/xa//zGxlGeVrrZ4i6s4gL3VvocGiO5x4PY9Vd7XT8x3pIjOeD4rQYU7JDezga5oNx&#10;L7ToAuEIGIynk+EYARwR02ExGZ8lRPZIZZ0P7wRoEo2SOuxkEphtr33AayH0CImZPShZLaVSyXHr&#10;1aVyZMuw68v0i/nxlT9gypC2pHiRPDEbiO/3OGUij0gDdMgXdejrjVboVt1BnBVUO9TGQT9c3vKl&#10;xDtfMx9umcNpwlnDfQs3+KgVYEo4WJQ04L7+6zzisckYpaTF6Syp/7JhTlCi3hts/1kxGsVxTs5o&#10;fDpAxz2NrJ5GzEZfAkpR4GZbnsyID+po1g70Z1zLRcyKIWY45i5pOJqXod8ZXGsuFosEwgG2LFyb&#10;O8sjdRTMwGIToJapQVGmXhuUPjo4wqkJh3WLO/LUT6jHT8z8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AAAAABkcnMvUEsBAhQAFAAAAAgA&#10;h07iQHS0gbDXAAAACwEAAA8AAAAAAAAAAQAgAAAAIgAAAGRycy9kb3ducmV2LnhtbFBLAQIUABQA&#10;AAAIAIdO4kDlI/QHYwIAAKoEAAAOAAAAAAAAAAEAIAAAACYBAABkcnMvZTJvRG9jLnhtbFBLBQYA&#10;AAAABgAGAFkBAAD7BQAAAAA=&#10;">
            <v:path/>
            <v:fill on="t" focussize="0,0"/>
            <v:stroke on="f" weight="0.5pt"/>
            <v:imagedata o:title=""/>
            <o:lock v:ext="edit" aspectratio="f"/>
            <v:textbox>
              <w:txbxContent>
                <w:p w14:paraId="5F383A70">
                  <w:pPr>
                    <w:pStyle w:val="10"/>
                    <w:tabs>
                      <w:tab w:val="left" w:pos="4539"/>
                    </w:tabs>
                    <w:spacing w:beforeAutospacing="0" w:afterAutospacing="0" w:line="360" w:lineRule="auto"/>
                    <w:jc w:val="both"/>
                    <w:rPr>
                      <w:rFonts w:hint="eastAsia" w:ascii="宋体" w:hAnsi="宋体" w:cs="宋体"/>
                      <w:sz w:val="24"/>
                      <w:szCs w:val="24"/>
                    </w:rPr>
                  </w:pPr>
                  <w:r>
                    <w:rPr>
                      <w:rFonts w:hint="eastAsia" w:ascii="宋体" w:hAnsi="宋体" w:cs="宋体"/>
                      <w:sz w:val="24"/>
                      <w:szCs w:val="24"/>
                    </w:rPr>
                    <w:t>甲方：国家文物局考古研究中心</w:t>
                  </w:r>
                </w:p>
                <w:p w14:paraId="10F3A2E8">
                  <w:pPr>
                    <w:pStyle w:val="10"/>
                    <w:tabs>
                      <w:tab w:val="left" w:pos="4539"/>
                    </w:tabs>
                    <w:spacing w:beforeAutospacing="0" w:afterAutospacing="0" w:line="360" w:lineRule="auto"/>
                    <w:jc w:val="both"/>
                    <w:rPr>
                      <w:rFonts w:hint="eastAsia" w:hAnsi="宋体" w:cs="宋体"/>
                      <w:szCs w:val="24"/>
                    </w:rPr>
                  </w:pPr>
                  <w:r>
                    <w:rPr>
                      <w:rFonts w:ascii="宋体" w:hAnsi="宋体" w:cs="宋体"/>
                      <w:sz w:val="24"/>
                      <w:szCs w:val="24"/>
                    </w:rPr>
                    <w:t xml:space="preserve">  </w:t>
                  </w:r>
                  <w:r>
                    <w:rPr>
                      <w:rFonts w:ascii="宋体" w:hAnsi="宋体" w:cs="宋体"/>
                      <w:kern w:val="2"/>
                      <w:szCs w:val="24"/>
                    </w:rPr>
                    <w:t xml:space="preserve">         </w:t>
                  </w:r>
                </w:p>
                <w:p w14:paraId="7D1DAFCC">
                  <w:pPr>
                    <w:pStyle w:val="10"/>
                    <w:tabs>
                      <w:tab w:val="left" w:pos="4539"/>
                    </w:tabs>
                    <w:spacing w:beforeAutospacing="0" w:afterAutospacing="0" w:line="360" w:lineRule="auto"/>
                    <w:jc w:val="both"/>
                    <w:rPr>
                      <w:rFonts w:hint="eastAsia" w:hAnsi="宋体" w:cs="宋体"/>
                      <w:szCs w:val="24"/>
                    </w:rPr>
                  </w:pPr>
                  <w:r>
                    <w:rPr>
                      <w:rFonts w:hint="eastAsia" w:ascii="宋体" w:hAnsi="宋体" w:cs="宋体"/>
                      <w:kern w:val="2"/>
                      <w:szCs w:val="24"/>
                    </w:rPr>
                    <w:t>法定代表人：</w:t>
                  </w:r>
                  <w:r>
                    <w:rPr>
                      <w:rFonts w:ascii="宋体" w:hAnsi="宋体" w:cs="宋体"/>
                      <w:kern w:val="2"/>
                      <w:szCs w:val="24"/>
                    </w:rPr>
                    <w:t xml:space="preserve">                          </w:t>
                  </w:r>
                </w:p>
                <w:p w14:paraId="040FFE0D">
                  <w:pPr>
                    <w:pStyle w:val="10"/>
                    <w:tabs>
                      <w:tab w:val="left" w:pos="4539"/>
                    </w:tabs>
                    <w:spacing w:beforeAutospacing="0" w:afterAutospacing="0" w:line="360" w:lineRule="auto"/>
                    <w:jc w:val="both"/>
                    <w:rPr>
                      <w:rFonts w:hint="eastAsia" w:hAnsi="宋体" w:cs="宋体"/>
                      <w:szCs w:val="24"/>
                    </w:rPr>
                  </w:pPr>
                  <w:r>
                    <w:rPr>
                      <w:rFonts w:hint="eastAsia" w:ascii="宋体" w:hAnsi="宋体" w:cs="宋体"/>
                      <w:kern w:val="2"/>
                      <w:szCs w:val="24"/>
                    </w:rPr>
                    <w:t>（或负责人）</w:t>
                  </w:r>
                  <w:r>
                    <w:rPr>
                      <w:rFonts w:ascii="宋体" w:hAnsi="宋体" w:cs="宋体"/>
                      <w:kern w:val="2"/>
                      <w:szCs w:val="24"/>
                    </w:rPr>
                    <w:t xml:space="preserve">                          </w:t>
                  </w:r>
                </w:p>
                <w:p w14:paraId="5D966F7F">
                  <w:pPr>
                    <w:pStyle w:val="10"/>
                    <w:tabs>
                      <w:tab w:val="left" w:pos="4539"/>
                    </w:tabs>
                    <w:spacing w:beforeAutospacing="0" w:afterAutospacing="0" w:line="360" w:lineRule="auto"/>
                    <w:jc w:val="both"/>
                    <w:rPr>
                      <w:rFonts w:hint="eastAsia" w:ascii="宋体" w:hAnsi="宋体" w:cs="宋体"/>
                      <w:kern w:val="2"/>
                      <w:szCs w:val="24"/>
                    </w:rPr>
                  </w:pPr>
                  <w:r>
                    <w:rPr>
                      <w:rFonts w:hint="eastAsia" w:ascii="宋体" w:hAnsi="宋体" w:cs="宋体"/>
                      <w:kern w:val="2"/>
                      <w:szCs w:val="24"/>
                    </w:rPr>
                    <w:t>授权代表（签字）</w:t>
                  </w:r>
                </w:p>
                <w:p w14:paraId="23FD13C2">
                  <w:pPr>
                    <w:pStyle w:val="10"/>
                    <w:tabs>
                      <w:tab w:val="left" w:pos="4539"/>
                    </w:tabs>
                    <w:spacing w:beforeAutospacing="0" w:afterAutospacing="0" w:line="360" w:lineRule="auto"/>
                    <w:jc w:val="both"/>
                    <w:rPr>
                      <w:rFonts w:hint="eastAsia" w:hAnsi="宋体" w:cs="宋体"/>
                      <w:szCs w:val="24"/>
                    </w:rPr>
                  </w:pPr>
                  <w:r>
                    <w:rPr>
                      <w:rFonts w:ascii="宋体" w:hAnsi="宋体" w:cs="宋体"/>
                      <w:kern w:val="2"/>
                      <w:szCs w:val="24"/>
                    </w:rPr>
                    <w:t xml:space="preserve">                      </w:t>
                  </w:r>
                </w:p>
                <w:p w14:paraId="1EF00985">
                  <w:pPr>
                    <w:pStyle w:val="10"/>
                    <w:tabs>
                      <w:tab w:val="left" w:pos="4539"/>
                    </w:tabs>
                    <w:spacing w:beforeAutospacing="0" w:afterAutospacing="0" w:line="360" w:lineRule="auto"/>
                    <w:ind w:left="4800" w:hanging="4800" w:hangingChars="2000"/>
                    <w:jc w:val="both"/>
                    <w:rPr>
                      <w:rFonts w:hint="eastAsia" w:hAnsi="宋体" w:cs="宋体"/>
                      <w:szCs w:val="24"/>
                    </w:rPr>
                  </w:pPr>
                  <w:r>
                    <w:rPr>
                      <w:rFonts w:hint="eastAsia" w:ascii="宋体" w:hAnsi="宋体" w:cs="宋体"/>
                      <w:kern w:val="2"/>
                      <w:szCs w:val="24"/>
                    </w:rPr>
                    <w:t>单位地址：北京市朝阳区和平里</w:t>
                  </w:r>
                  <w:r>
                    <w:rPr>
                      <w:rFonts w:hint="eastAsia" w:ascii="宋体" w:hAnsi="宋体" w:cs="宋体"/>
                      <w:kern w:val="2"/>
                      <w:szCs w:val="24"/>
                      <w:lang w:val="en-US" w:eastAsia="zh-CN"/>
                    </w:rPr>
                    <w:t>南</w:t>
                  </w:r>
                  <w:r>
                    <w:rPr>
                      <w:rFonts w:hint="eastAsia" w:ascii="宋体" w:hAnsi="宋体" w:cs="宋体"/>
                      <w:kern w:val="2"/>
                      <w:szCs w:val="24"/>
                    </w:rPr>
                    <w:t>街</w:t>
                  </w:r>
                </w:p>
                <w:p w14:paraId="395E45C5">
                  <w:pPr>
                    <w:pStyle w:val="10"/>
                    <w:tabs>
                      <w:tab w:val="left" w:pos="4539"/>
                    </w:tabs>
                    <w:spacing w:beforeAutospacing="0" w:afterAutospacing="0" w:line="360" w:lineRule="auto"/>
                    <w:ind w:left="4560" w:hanging="4560" w:hangingChars="1900"/>
                    <w:jc w:val="both"/>
                    <w:rPr>
                      <w:rFonts w:hint="eastAsia" w:hAnsi="宋体" w:cs="宋体"/>
                      <w:szCs w:val="24"/>
                    </w:rPr>
                  </w:pPr>
                  <w:r>
                    <w:rPr>
                      <w:rFonts w:hint="eastAsia" w:ascii="宋体" w:hAnsi="宋体" w:cs="宋体"/>
                      <w:kern w:val="2"/>
                      <w:szCs w:val="24"/>
                    </w:rPr>
                    <w:t>砖角楼南里甲</w:t>
                  </w:r>
                  <w:r>
                    <w:rPr>
                      <w:rFonts w:ascii="宋体" w:hAnsi="宋体" w:cs="宋体"/>
                      <w:kern w:val="2"/>
                      <w:szCs w:val="24"/>
                    </w:rPr>
                    <w:t xml:space="preserve">21号         </w:t>
                  </w:r>
                  <w:r>
                    <w:rPr>
                      <w:rFonts w:hint="eastAsia" w:ascii="宋体" w:hAnsi="宋体" w:cs="宋体"/>
                      <w:kern w:val="2"/>
                      <w:szCs w:val="24"/>
                    </w:rPr>
                    <w:t xml:space="preserve">         </w:t>
                  </w:r>
                  <w:r>
                    <w:rPr>
                      <w:rFonts w:hint="eastAsia" w:ascii="宋体" w:hAnsi="宋体" w:cs="宋体"/>
                      <w:kern w:val="2"/>
                      <w:szCs w:val="24"/>
                      <w:lang w:val="en-US" w:eastAsia="zh-CN"/>
                    </w:rPr>
                    <w:t xml:space="preserve">  </w:t>
                  </w:r>
                  <w:r>
                    <w:rPr>
                      <w:rFonts w:ascii="宋体" w:hAnsi="宋体" w:cs="宋体"/>
                      <w:kern w:val="2"/>
                      <w:szCs w:val="24"/>
                    </w:rPr>
                    <w:t xml:space="preserve">                                               </w:t>
                  </w:r>
                </w:p>
                <w:p w14:paraId="3235E0DE">
                  <w:pPr>
                    <w:pStyle w:val="10"/>
                    <w:tabs>
                      <w:tab w:val="left" w:pos="4539"/>
                    </w:tabs>
                    <w:spacing w:beforeAutospacing="0" w:afterAutospacing="0" w:line="360" w:lineRule="auto"/>
                    <w:jc w:val="both"/>
                    <w:rPr>
                      <w:rFonts w:hint="eastAsia" w:hAnsi="宋体" w:cs="宋体"/>
                      <w:szCs w:val="24"/>
                    </w:rPr>
                  </w:pPr>
                  <w:r>
                    <w:rPr>
                      <w:rFonts w:hint="eastAsia" w:ascii="宋体" w:hAnsi="宋体" w:cs="宋体"/>
                      <w:kern w:val="2"/>
                      <w:szCs w:val="24"/>
                    </w:rPr>
                    <w:t>邮政编码：</w:t>
                  </w:r>
                  <w:r>
                    <w:rPr>
                      <w:rFonts w:hint="eastAsia" w:ascii="宋体" w:hAnsi="宋体" w:cs="宋体"/>
                      <w:kern w:val="2"/>
                      <w:szCs w:val="24"/>
                      <w:lang w:val="en-US" w:eastAsia="zh-CN"/>
                    </w:rPr>
                    <w:t>100013</w:t>
                  </w:r>
                  <w:r>
                    <w:rPr>
                      <w:rFonts w:ascii="宋体" w:hAnsi="宋体" w:cs="宋体"/>
                      <w:kern w:val="2"/>
                      <w:szCs w:val="24"/>
                    </w:rPr>
                    <w:t xml:space="preserve">                             </w:t>
                  </w:r>
                </w:p>
                <w:p w14:paraId="654A1467">
                  <w:pPr>
                    <w:rPr>
                      <w:rFonts w:hint="eastAsia" w:ascii="宋体" w:hAnsi="宋体" w:cs="宋体"/>
                      <w:szCs w:val="24"/>
                    </w:rPr>
                  </w:pPr>
                  <w:r>
                    <w:rPr>
                      <w:rFonts w:hint="eastAsia" w:ascii="宋体" w:hAnsi="宋体" w:cs="宋体"/>
                      <w:sz w:val="24"/>
                      <w:szCs w:val="24"/>
                    </w:rPr>
                    <w:t>电</w:t>
                  </w:r>
                  <w:r>
                    <w:rPr>
                      <w:rFonts w:ascii="宋体" w:hAnsi="宋体" w:cs="宋体"/>
                      <w:sz w:val="24"/>
                      <w:szCs w:val="24"/>
                    </w:rPr>
                    <w:t xml:space="preserve">    </w:t>
                  </w:r>
                  <w:r>
                    <w:rPr>
                      <w:rFonts w:hint="eastAsia" w:ascii="宋体" w:hAnsi="宋体" w:cs="宋体"/>
                      <w:sz w:val="24"/>
                      <w:szCs w:val="24"/>
                    </w:rPr>
                    <w:t>话：010-64285646</w:t>
                  </w:r>
                  <w:r>
                    <w:rPr>
                      <w:rFonts w:ascii="宋体" w:hAnsi="宋体" w:cs="宋体"/>
                      <w:sz w:val="24"/>
                      <w:szCs w:val="24"/>
                    </w:rPr>
                    <w:t xml:space="preserve">                </w:t>
                  </w:r>
                </w:p>
                <w:p w14:paraId="31BFF1BA">
                  <w:pPr>
                    <w:rPr>
                      <w:rFonts w:hint="eastAsia" w:hAnsi="宋体" w:cs="宋体"/>
                      <w:szCs w:val="24"/>
                    </w:rPr>
                  </w:pPr>
                  <w:r>
                    <w:rPr>
                      <w:rFonts w:hint="eastAsia" w:ascii="宋体" w:hAnsi="宋体" w:cs="宋体"/>
                      <w:szCs w:val="24"/>
                    </w:rPr>
                    <w:t>传</w:t>
                  </w:r>
                  <w:r>
                    <w:rPr>
                      <w:rFonts w:ascii="宋体" w:hAnsi="宋体" w:cs="宋体"/>
                      <w:szCs w:val="24"/>
                    </w:rPr>
                    <w:t xml:space="preserve">    真：                            </w:t>
                  </w:r>
                  <w:r>
                    <w:rPr>
                      <w:rFonts w:hint="eastAsia" w:ascii="宋体" w:hAnsi="宋体" w:cs="宋体"/>
                      <w:szCs w:val="24"/>
                    </w:rPr>
                    <w:t xml:space="preserve">  </w:t>
                  </w:r>
                  <w:r>
                    <w:rPr>
                      <w:rFonts w:hint="eastAsia" w:ascii="宋体" w:hAnsi="宋体" w:cs="宋体"/>
                      <w:szCs w:val="24"/>
                      <w:lang w:val="en-US" w:eastAsia="zh-CN"/>
                    </w:rPr>
                    <w:t xml:space="preserve">    </w:t>
                  </w:r>
                  <w:r>
                    <w:rPr>
                      <w:rFonts w:ascii="宋体" w:hAnsi="宋体" w:cs="宋体"/>
                      <w:szCs w:val="24"/>
                    </w:rPr>
                    <w:t xml:space="preserve"> </w:t>
                  </w:r>
                </w:p>
                <w:p w14:paraId="034E7C8D">
                  <w:pPr>
                    <w:pStyle w:val="10"/>
                    <w:spacing w:beforeAutospacing="0" w:afterAutospacing="0" w:line="360" w:lineRule="auto"/>
                    <w:ind w:left="5760" w:hanging="5760" w:hangingChars="2400"/>
                    <w:jc w:val="both"/>
                    <w:rPr>
                      <w:rFonts w:hint="eastAsia" w:ascii="宋体" w:hAnsi="宋体" w:cs="宋体"/>
                      <w:kern w:val="2"/>
                      <w:szCs w:val="24"/>
                    </w:rPr>
                  </w:pPr>
                  <w:r>
                    <w:rPr>
                      <w:rFonts w:hint="eastAsia" w:ascii="宋体" w:hAnsi="宋体" w:cs="宋体"/>
                      <w:kern w:val="2"/>
                      <w:szCs w:val="24"/>
                    </w:rPr>
                    <w:t xml:space="preserve">开户银行：光大银行惠新西街支行 </w:t>
                  </w:r>
                  <w:r>
                    <w:rPr>
                      <w:rFonts w:ascii="宋体" w:hAnsi="宋体" w:cs="宋体"/>
                      <w:kern w:val="2"/>
                      <w:szCs w:val="24"/>
                    </w:rPr>
                    <w:t xml:space="preserve">      </w:t>
                  </w:r>
                  <w:r>
                    <w:rPr>
                      <w:rFonts w:hint="eastAsia" w:ascii="宋体" w:hAnsi="宋体" w:cs="宋体"/>
                      <w:kern w:val="2"/>
                      <w:szCs w:val="24"/>
                      <w:lang w:val="en-US" w:eastAsia="zh-CN"/>
                    </w:rPr>
                    <w:t xml:space="preserve"> </w:t>
                  </w:r>
                  <w:r>
                    <w:rPr>
                      <w:rFonts w:hint="eastAsia" w:ascii="宋体" w:hAnsi="宋体" w:cs="宋体"/>
                      <w:kern w:val="2"/>
                      <w:szCs w:val="24"/>
                    </w:rPr>
                    <w:t xml:space="preserve"> </w:t>
                  </w:r>
                </w:p>
                <w:p w14:paraId="56F53351">
                  <w:pPr>
                    <w:pStyle w:val="10"/>
                    <w:tabs>
                      <w:tab w:val="left" w:pos="4539"/>
                    </w:tabs>
                    <w:spacing w:beforeAutospacing="0" w:afterAutospacing="0" w:line="360" w:lineRule="auto"/>
                    <w:jc w:val="both"/>
                    <w:rPr>
                      <w:rFonts w:hint="eastAsia" w:hAnsi="宋体" w:cs="宋体"/>
                      <w:b/>
                      <w:bCs/>
                      <w:szCs w:val="24"/>
                    </w:rPr>
                  </w:pPr>
                  <w:r>
                    <w:rPr>
                      <w:rFonts w:hint="eastAsia" w:ascii="宋体" w:hAnsi="宋体" w:cs="宋体"/>
                      <w:kern w:val="2"/>
                      <w:szCs w:val="24"/>
                    </w:rPr>
                    <w:t>银行帐号：35240188000098721</w:t>
                  </w:r>
                  <w:r>
                    <w:rPr>
                      <w:rFonts w:ascii="宋体" w:hAnsi="宋体" w:cs="宋体"/>
                      <w:kern w:val="2"/>
                      <w:szCs w:val="24"/>
                    </w:rPr>
                    <w:t xml:space="preserve">          </w:t>
                  </w:r>
                  <w:r>
                    <w:rPr>
                      <w:rFonts w:hint="eastAsia" w:ascii="宋体" w:hAnsi="宋体" w:cs="宋体"/>
                      <w:kern w:val="2"/>
                      <w:szCs w:val="24"/>
                    </w:rPr>
                    <w:t xml:space="preserve"> </w:t>
                  </w:r>
                </w:p>
                <w:p w14:paraId="3EC02C36">
                  <w:pPr>
                    <w:pStyle w:val="10"/>
                    <w:tabs>
                      <w:tab w:val="left" w:pos="4539"/>
                    </w:tabs>
                    <w:spacing w:beforeAutospacing="0" w:afterAutospacing="0" w:line="360" w:lineRule="auto"/>
                    <w:jc w:val="both"/>
                    <w:rPr>
                      <w:rFonts w:hint="eastAsia" w:hAnsi="宋体" w:cs="宋体"/>
                      <w:szCs w:val="24"/>
                    </w:rPr>
                  </w:pPr>
                  <w:r>
                    <w:rPr>
                      <w:rFonts w:hint="eastAsia" w:ascii="宋体" w:hAnsi="宋体" w:cs="宋体"/>
                      <w:kern w:val="2"/>
                      <w:szCs w:val="24"/>
                    </w:rPr>
                    <w:t>项目负责人：</w:t>
                  </w:r>
                  <w:r>
                    <w:rPr>
                      <w:rFonts w:ascii="宋体" w:hAnsi="宋体" w:cs="宋体"/>
                      <w:kern w:val="2"/>
                      <w:szCs w:val="24"/>
                    </w:rPr>
                    <w:t xml:space="preserve">                             </w:t>
                  </w:r>
                </w:p>
                <w:p w14:paraId="044F131A">
                  <w:pPr>
                    <w:pStyle w:val="10"/>
                    <w:tabs>
                      <w:tab w:val="left" w:pos="4539"/>
                    </w:tabs>
                    <w:spacing w:beforeAutospacing="0" w:afterAutospacing="0" w:line="360" w:lineRule="auto"/>
                    <w:jc w:val="both"/>
                    <w:rPr>
                      <w:rFonts w:hint="eastAsia" w:hAnsi="宋体" w:cs="宋体"/>
                      <w:szCs w:val="24"/>
                    </w:rPr>
                  </w:pPr>
                  <w:r>
                    <w:rPr>
                      <w:rFonts w:hint="eastAsia" w:ascii="宋体" w:hAnsi="宋体" w:cs="宋体"/>
                      <w:kern w:val="2"/>
                      <w:szCs w:val="24"/>
                    </w:rPr>
                    <w:t>联系方式：</w:t>
                  </w:r>
                  <w:r>
                    <w:rPr>
                      <w:rFonts w:ascii="宋体" w:hAnsi="宋体" w:cs="宋体"/>
                      <w:kern w:val="2"/>
                      <w:szCs w:val="24"/>
                    </w:rPr>
                    <w:t xml:space="preserve">                                   </w:t>
                  </w:r>
                </w:p>
                <w:p w14:paraId="72970C7A">
                  <w:pPr>
                    <w:spacing w:line="360" w:lineRule="auto"/>
                    <w:rPr>
                      <w:rFonts w:hint="eastAsia" w:ascii="宋体" w:hAnsi="宋体" w:cs="宋体"/>
                      <w:sz w:val="24"/>
                      <w:szCs w:val="24"/>
                    </w:rPr>
                  </w:pPr>
                  <w:r>
                    <w:rPr>
                      <w:rFonts w:hint="eastAsia" w:ascii="宋体" w:hAnsi="宋体" w:cs="宋体"/>
                      <w:sz w:val="24"/>
                      <w:szCs w:val="24"/>
                    </w:rPr>
                    <w:t>签署时间：</w:t>
                  </w:r>
                  <w:r>
                    <w:rPr>
                      <w:rFonts w:ascii="宋体" w:hAnsi="宋体" w:cs="宋体"/>
                      <w:sz w:val="24"/>
                      <w:szCs w:val="24"/>
                    </w:rPr>
                    <w:t xml:space="preserve">  </w:t>
                  </w:r>
                  <w:r>
                    <w:rPr>
                      <w:rFonts w:hint="eastAsia" w:ascii="宋体" w:hAnsi="宋体" w:cs="宋体"/>
                      <w:sz w:val="24"/>
                      <w:szCs w:val="24"/>
                    </w:rPr>
                    <w:t>年</w:t>
                  </w:r>
                  <w:r>
                    <w:rPr>
                      <w:rFonts w:ascii="宋体" w:hAnsi="宋体" w:cs="宋体"/>
                      <w:sz w:val="24"/>
                      <w:szCs w:val="24"/>
                    </w:rPr>
                    <w:t xml:space="preserve">  </w:t>
                  </w:r>
                  <w:r>
                    <w:rPr>
                      <w:rFonts w:hint="eastAsia" w:ascii="宋体" w:hAnsi="宋体" w:cs="宋体"/>
                      <w:sz w:val="24"/>
                      <w:szCs w:val="24"/>
                    </w:rPr>
                    <w:t>月</w:t>
                  </w:r>
                  <w:r>
                    <w:rPr>
                      <w:rFonts w:ascii="宋体" w:hAnsi="宋体" w:cs="宋体"/>
                      <w:sz w:val="24"/>
                      <w:szCs w:val="24"/>
                    </w:rPr>
                    <w:t xml:space="preserve">  </w:t>
                  </w:r>
                  <w:r>
                    <w:rPr>
                      <w:rFonts w:hint="eastAsia" w:ascii="宋体" w:hAnsi="宋体" w:cs="宋体"/>
                      <w:sz w:val="24"/>
                      <w:szCs w:val="24"/>
                    </w:rPr>
                    <w:t>日</w:t>
                  </w:r>
                  <w:r>
                    <w:rPr>
                      <w:rFonts w:ascii="宋体" w:hAnsi="宋体" w:cs="宋体"/>
                      <w:sz w:val="24"/>
                      <w:szCs w:val="24"/>
                    </w:rPr>
                    <w:t xml:space="preserve">               </w:t>
                  </w:r>
                </w:p>
              </w:txbxContent>
            </v:textbox>
          </v:shape>
        </w:pict>
      </w:r>
    </w:p>
    <w:p w14:paraId="78508D72">
      <w:pPr>
        <w:snapToGrid w:val="0"/>
        <w:spacing w:line="360" w:lineRule="auto"/>
        <w:rPr>
          <w:rFonts w:hint="eastAsia" w:ascii="宋体" w:hAnsi="宋体" w:cs="宋体"/>
          <w:color w:val="auto"/>
          <w:sz w:val="24"/>
          <w:szCs w:val="24"/>
        </w:rPr>
      </w:pPr>
    </w:p>
    <w:p w14:paraId="3C9E586A">
      <w:pPr>
        <w:pStyle w:val="2"/>
        <w:widowControl/>
        <w:spacing w:before="0" w:line="360" w:lineRule="auto"/>
        <w:ind w:firstLine="482" w:firstLineChars="200"/>
        <w:rPr>
          <w:rFonts w:hint="eastAsia" w:ascii="宋体" w:hAnsi="宋体" w:eastAsia="宋体" w:cs="宋体"/>
          <w:color w:val="auto"/>
          <w:sz w:val="32"/>
          <w:szCs w:val="32"/>
        </w:rPr>
      </w:pPr>
      <w:r>
        <w:rPr>
          <w:rFonts w:ascii="宋体" w:hAnsi="宋体" w:eastAsia="宋体" w:cs="宋体"/>
          <w:color w:val="auto"/>
          <w:sz w:val="24"/>
          <w:szCs w:val="24"/>
        </w:rPr>
        <w:br w:type="page"/>
      </w:r>
      <w:bookmarkStart w:id="0" w:name="_Toc474755267"/>
      <w:bookmarkStart w:id="1" w:name="_Toc513573535"/>
      <w:bookmarkStart w:id="2" w:name="_Toc12613700"/>
      <w:r>
        <w:rPr>
          <w:rFonts w:hint="eastAsia" w:ascii="宋体" w:hAnsi="宋体" w:eastAsia="宋体" w:cs="宋体"/>
          <w:color w:val="auto"/>
          <w:sz w:val="32"/>
          <w:szCs w:val="32"/>
        </w:rPr>
        <w:t>合同条款</w:t>
      </w:r>
      <w:bookmarkEnd w:id="0"/>
      <w:bookmarkEnd w:id="1"/>
      <w:bookmarkEnd w:id="2"/>
    </w:p>
    <w:p w14:paraId="7A5104FE">
      <w:pPr>
        <w:pStyle w:val="2"/>
        <w:widowControl/>
        <w:spacing w:before="0" w:line="360" w:lineRule="auto"/>
        <w:ind w:firstLine="482" w:firstLineChars="200"/>
        <w:rPr>
          <w:rFonts w:hint="eastAsia" w:ascii="宋体" w:hAnsi="宋体" w:eastAsia="宋体" w:cs="宋体"/>
          <w:color w:val="auto"/>
          <w:sz w:val="24"/>
          <w:szCs w:val="24"/>
        </w:rPr>
      </w:pPr>
    </w:p>
    <w:p w14:paraId="73114D75">
      <w:pPr>
        <w:pStyle w:val="3"/>
        <w:widowControl/>
        <w:numPr>
          <w:ilvl w:val="0"/>
          <w:numId w:val="3"/>
        </w:numPr>
        <w:tabs>
          <w:tab w:val="left" w:pos="901"/>
        </w:tabs>
        <w:snapToGrid w:val="0"/>
        <w:spacing w:before="0" w:after="0" w:line="360" w:lineRule="auto"/>
        <w:ind w:firstLine="482" w:firstLineChars="200"/>
        <w:rPr>
          <w:rFonts w:hAnsi="宋体" w:cs="宋体"/>
          <w:color w:val="auto"/>
          <w:szCs w:val="24"/>
        </w:rPr>
      </w:pPr>
      <w:bookmarkStart w:id="3" w:name="_Toc366495192"/>
      <w:r>
        <w:rPr>
          <w:rFonts w:hAnsi="宋体" w:cs="宋体"/>
          <w:color w:val="auto"/>
          <w:szCs w:val="24"/>
          <w:u w:val="none"/>
        </w:rPr>
        <w:t>定义</w:t>
      </w:r>
      <w:bookmarkEnd w:id="3"/>
    </w:p>
    <w:p w14:paraId="534708D6">
      <w:pPr>
        <w:tabs>
          <w:tab w:val="left" w:pos="901"/>
        </w:tabs>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本合同中的下列术语应解释为：</w:t>
      </w:r>
    </w:p>
    <w:p w14:paraId="0F01D620">
      <w:pPr>
        <w:pStyle w:val="16"/>
        <w:widowControl w:val="0"/>
        <w:snapToGrid w:val="0"/>
        <w:spacing w:line="360" w:lineRule="auto"/>
        <w:ind w:firstLine="480" w:firstLineChars="200"/>
        <w:rPr>
          <w:rFonts w:hint="eastAsia" w:ascii="宋体" w:hAnsi="宋体" w:eastAsia="宋体" w:cs="宋体"/>
          <w:color w:val="auto"/>
          <w:szCs w:val="24"/>
        </w:rPr>
      </w:pPr>
      <w:r>
        <w:rPr>
          <w:rFonts w:hint="eastAsia" w:ascii="宋体" w:hAnsi="宋体" w:eastAsia="宋体" w:cs="宋体"/>
          <w:color w:val="auto"/>
          <w:szCs w:val="24"/>
        </w:rPr>
        <w:t>1.1 “合同”系指买卖双方签署的、合同格式</w:t>
      </w:r>
      <w:bookmarkStart w:id="4" w:name="_Toc330473009"/>
      <w:bookmarkStart w:id="5" w:name="_Toc289327686"/>
      <w:r>
        <w:rPr>
          <w:rFonts w:hint="eastAsia" w:ascii="宋体" w:hAnsi="宋体" w:eastAsia="宋体" w:cs="宋体"/>
          <w:color w:val="auto"/>
          <w:szCs w:val="24"/>
        </w:rPr>
        <w:t>中载明的买卖双方所</w:t>
      </w:r>
      <w:bookmarkEnd w:id="4"/>
      <w:bookmarkEnd w:id="5"/>
      <w:r>
        <w:rPr>
          <w:rFonts w:hint="eastAsia" w:ascii="宋体" w:hAnsi="宋体" w:eastAsia="宋体" w:cs="宋体"/>
          <w:color w:val="auto"/>
          <w:szCs w:val="24"/>
        </w:rPr>
        <w:t>达成的合同，包括所有的附件、附录和构成合同的其它文件。</w:t>
      </w:r>
    </w:p>
    <w:p w14:paraId="55252541">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1.2 “合同价”系指根据合同约定，卖方在完全履行合同义务后买方应付给卖方的价格。</w:t>
      </w:r>
    </w:p>
    <w:p w14:paraId="0AC5C0A1">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1.3 “货物”系指卖方根据合同约定须向买方提供的一切设备、机械、仪表、备件，包括工具、手册等其它相关资料。“服务”系指根据合同约定卖方承担与供货有关的辅助服务，如运输、保险及安装、调试、提供技术援助、培训和其他类似的服务。</w:t>
      </w:r>
    </w:p>
    <w:p w14:paraId="7E3F936D">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1.4 “买方”系指与中标人/成交人签署供货合同的单位（含最终用户）。</w:t>
      </w:r>
    </w:p>
    <w:p w14:paraId="57E025BC">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1.5 “卖方”系指根据合同约定提供货物及相关服务的中标人/成交人。</w:t>
      </w:r>
    </w:p>
    <w:p w14:paraId="37CA0DF6">
      <w:pPr>
        <w:tabs>
          <w:tab w:val="left" w:pos="901"/>
        </w:tabs>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1.6 “现场”系指合同约定货物将要运至和安装的地点。</w:t>
      </w:r>
    </w:p>
    <w:p w14:paraId="2BE5E10D">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1.7 “验收”系指合同双方依据强制性的国家技术质量规范和合同约定，确认合同项下的货物符合合同规定的活动。</w:t>
      </w:r>
    </w:p>
    <w:p w14:paraId="20EA59E7">
      <w:pPr>
        <w:pStyle w:val="3"/>
        <w:widowControl/>
        <w:snapToGrid w:val="0"/>
        <w:spacing w:before="0" w:after="0" w:line="360" w:lineRule="auto"/>
        <w:ind w:firstLine="482" w:firstLineChars="200"/>
        <w:jc w:val="both"/>
        <w:rPr>
          <w:rFonts w:hAnsi="宋体" w:cs="宋体"/>
          <w:color w:val="auto"/>
          <w:szCs w:val="24"/>
        </w:rPr>
      </w:pPr>
      <w:bookmarkStart w:id="6" w:name="_Toc366495193"/>
      <w:r>
        <w:rPr>
          <w:rFonts w:hAnsi="宋体" w:cs="宋体"/>
          <w:color w:val="auto"/>
          <w:szCs w:val="24"/>
          <w:u w:val="none"/>
        </w:rPr>
        <w:t>2. 技术规范</w:t>
      </w:r>
      <w:bookmarkEnd w:id="6"/>
    </w:p>
    <w:p w14:paraId="4F6D29EB">
      <w:pPr>
        <w:tabs>
          <w:tab w:val="left" w:pos="901"/>
        </w:tabs>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2.1 提交货物的技术规范应与招标文件/谈判文件、报价文件规定的技术规范和技术规范附件（</w:t>
      </w:r>
      <w:bookmarkStart w:id="7" w:name="_Toc289327687"/>
      <w:bookmarkStart w:id="8" w:name="_Toc330473010"/>
      <w:r>
        <w:rPr>
          <w:rFonts w:hint="eastAsia" w:ascii="宋体" w:hAnsi="宋体" w:cs="宋体"/>
          <w:color w:val="auto"/>
          <w:sz w:val="24"/>
          <w:szCs w:val="24"/>
        </w:rPr>
        <w:t>如果有的话）及其投标文件</w:t>
      </w:r>
      <w:bookmarkEnd w:id="7"/>
      <w:bookmarkEnd w:id="8"/>
      <w:r>
        <w:rPr>
          <w:rFonts w:hint="eastAsia" w:ascii="宋体" w:hAnsi="宋体" w:cs="宋体"/>
          <w:color w:val="auto"/>
          <w:sz w:val="24"/>
          <w:szCs w:val="24"/>
        </w:rPr>
        <w:t>的技术规范偏差表（如果有且被买方接受的话）相一致。若技术规范中无相应说明，则以国家有关部门最新颁布的相应标准及规范为准。</w:t>
      </w:r>
    </w:p>
    <w:p w14:paraId="40575154">
      <w:pPr>
        <w:pStyle w:val="3"/>
        <w:widowControl/>
        <w:snapToGrid w:val="0"/>
        <w:spacing w:before="0" w:after="0" w:line="360" w:lineRule="auto"/>
        <w:ind w:firstLine="482" w:firstLineChars="200"/>
        <w:jc w:val="both"/>
        <w:rPr>
          <w:rFonts w:hAnsi="宋体" w:cs="宋体"/>
          <w:color w:val="auto"/>
          <w:szCs w:val="24"/>
        </w:rPr>
      </w:pPr>
      <w:bookmarkStart w:id="9" w:name="_Toc366495194"/>
      <w:r>
        <w:rPr>
          <w:rFonts w:hAnsi="宋体" w:cs="宋体"/>
          <w:color w:val="auto"/>
          <w:szCs w:val="24"/>
          <w:u w:val="none"/>
        </w:rPr>
        <w:t>3. 知识产权</w:t>
      </w:r>
      <w:bookmarkEnd w:id="9"/>
    </w:p>
    <w:p w14:paraId="3FDED6AB">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3.1 卖方应</w:t>
      </w:r>
      <w:r>
        <w:rPr>
          <w:rFonts w:hint="eastAsia" w:ascii="宋体" w:hAnsi="宋体" w:cs="宋体"/>
          <w:color w:val="auto"/>
          <w:sz w:val="24"/>
          <w:szCs w:val="24"/>
          <w:lang w:val="en-US" w:eastAsia="zh-CN"/>
        </w:rPr>
        <w:t>承诺可合法取得本项目全部模型的原型船图纸，并保证我方在使用该货物或其任何一部分时不受第三方提出的侵犯专利权、著作权、商标权和工业设计权等的诉讼。</w:t>
      </w:r>
      <w:r>
        <w:rPr>
          <w:rFonts w:hint="eastAsia" w:ascii="宋体" w:hAnsi="宋体" w:cs="宋体"/>
          <w:color w:val="auto"/>
          <w:sz w:val="24"/>
          <w:szCs w:val="24"/>
        </w:rPr>
        <w:t>如果任何第三方提出侵权指控，卖方须与第三方交涉并承担由此发生的一切责任、费用和经济赔偿。</w:t>
      </w:r>
    </w:p>
    <w:p w14:paraId="54915A18">
      <w:pPr>
        <w:pStyle w:val="3"/>
        <w:widowControl/>
        <w:snapToGrid w:val="0"/>
        <w:spacing w:before="0" w:after="0" w:line="360" w:lineRule="auto"/>
        <w:ind w:firstLine="482" w:firstLineChars="200"/>
        <w:jc w:val="both"/>
        <w:rPr>
          <w:rFonts w:hAnsi="宋体" w:cs="宋体"/>
          <w:color w:val="auto"/>
          <w:szCs w:val="24"/>
        </w:rPr>
      </w:pPr>
      <w:bookmarkStart w:id="10" w:name="_Toc366495195"/>
      <w:r>
        <w:rPr>
          <w:rFonts w:hAnsi="宋体" w:cs="宋体"/>
          <w:color w:val="auto"/>
          <w:szCs w:val="24"/>
          <w:u w:val="none"/>
        </w:rPr>
        <w:t>4. 包装要求</w:t>
      </w:r>
      <w:bookmarkEnd w:id="10"/>
    </w:p>
    <w:p w14:paraId="4D1270B2">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4.1 除合同另有约定外，卖方提供的全部货物，均应采用本行业通用的方</w:t>
      </w:r>
      <w:bookmarkStart w:id="11" w:name="_Toc330473012"/>
      <w:bookmarkStart w:id="12" w:name="_Toc289327689"/>
      <w:r>
        <w:rPr>
          <w:rFonts w:hint="eastAsia" w:ascii="宋体" w:hAnsi="宋体" w:cs="宋体"/>
          <w:color w:val="auto"/>
          <w:sz w:val="24"/>
          <w:szCs w:val="24"/>
        </w:rPr>
        <w:t>式进行包装，且该包装应符</w:t>
      </w:r>
      <w:bookmarkEnd w:id="11"/>
      <w:bookmarkEnd w:id="12"/>
      <w:r>
        <w:rPr>
          <w:rFonts w:hint="eastAsia" w:ascii="宋体" w:hAnsi="宋体" w:cs="宋体"/>
          <w:color w:val="auto"/>
          <w:sz w:val="24"/>
          <w:szCs w:val="24"/>
        </w:rPr>
        <w:t>合国家有关包装的法律、法规的规定。包装应适应于远距离运输、防潮、防震、防锈和防粗暴装卸，确保货物安全无损，运抵现场。由于包装不善所引起的货物锈蚀、损坏和损失均由卖方承担。</w:t>
      </w:r>
    </w:p>
    <w:p w14:paraId="35D5F72C">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4.2 每件包装箱内应附一份详细装箱单和质量合格证。</w:t>
      </w:r>
    </w:p>
    <w:p w14:paraId="033CDED0">
      <w:pPr>
        <w:pStyle w:val="3"/>
        <w:widowControl/>
        <w:snapToGrid w:val="0"/>
        <w:spacing w:before="0" w:after="0" w:line="360" w:lineRule="auto"/>
        <w:ind w:firstLine="482" w:firstLineChars="200"/>
        <w:jc w:val="both"/>
        <w:rPr>
          <w:rFonts w:hAnsi="宋体" w:cs="宋体"/>
          <w:color w:val="auto"/>
          <w:szCs w:val="24"/>
        </w:rPr>
      </w:pPr>
      <w:bookmarkStart w:id="13" w:name="_Toc366495196"/>
      <w:r>
        <w:rPr>
          <w:rFonts w:hAnsi="宋体" w:cs="宋体"/>
          <w:color w:val="auto"/>
          <w:szCs w:val="24"/>
          <w:u w:val="none"/>
        </w:rPr>
        <w:t>5. 装运标志</w:t>
      </w:r>
      <w:bookmarkEnd w:id="13"/>
    </w:p>
    <w:p w14:paraId="3BF078F3">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5.1 卖方应在每一包装箱的两侧用不褪色的油漆以醒目的中文字样做出下</w:t>
      </w:r>
      <w:bookmarkStart w:id="14" w:name="_Toc330473013"/>
      <w:bookmarkStart w:id="15" w:name="_Toc289327690"/>
      <w:r>
        <w:rPr>
          <w:rFonts w:hint="eastAsia" w:ascii="宋体" w:hAnsi="宋体" w:cs="宋体"/>
          <w:color w:val="auto"/>
          <w:sz w:val="24"/>
          <w:szCs w:val="24"/>
        </w:rPr>
        <w:t>列标记：</w:t>
      </w:r>
    </w:p>
    <w:p w14:paraId="329C170B">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收货人</w:t>
      </w:r>
      <w:bookmarkEnd w:id="14"/>
      <w:bookmarkEnd w:id="15"/>
      <w:r>
        <w:rPr>
          <w:rFonts w:hint="eastAsia" w:ascii="宋体" w:hAnsi="宋体" w:cs="宋体"/>
          <w:color w:val="auto"/>
          <w:sz w:val="24"/>
          <w:szCs w:val="24"/>
        </w:rPr>
        <w:t>：</w:t>
      </w:r>
    </w:p>
    <w:p w14:paraId="666C0465">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合同号：</w:t>
      </w:r>
    </w:p>
    <w:p w14:paraId="1DF0339F">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装运标志：</w:t>
      </w:r>
    </w:p>
    <w:p w14:paraId="5280DFCC">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收货人代号：</w:t>
      </w:r>
    </w:p>
    <w:p w14:paraId="0F9F6BB6">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目的地：</w:t>
      </w:r>
    </w:p>
    <w:p w14:paraId="0474007F">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货物名称、品目号和箱号：</w:t>
      </w:r>
    </w:p>
    <w:p w14:paraId="50848BCC">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毛重／净重：</w:t>
      </w:r>
    </w:p>
    <w:p w14:paraId="55AE46A4">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尺寸（长×宽×高以厘米计）：      </w:t>
      </w:r>
    </w:p>
    <w:p w14:paraId="3C89C3EB">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5.2 如果货物单件重量在2吨或2吨以上，卖方应在每件包装箱的两侧用中文和适当的运输标记，标明“重心”和“吊装点”，以便装卸和搬运。根据货物的特点和运输的不同要求，卖方应在包装箱上清楚地标有“小心轻放”、“防潮”“勿倒置”等字样和其他适当的标志。</w:t>
      </w:r>
    </w:p>
    <w:p w14:paraId="21E4AA4A">
      <w:pPr>
        <w:pStyle w:val="3"/>
        <w:widowControl/>
        <w:snapToGrid w:val="0"/>
        <w:spacing w:before="0" w:after="0" w:line="360" w:lineRule="auto"/>
        <w:ind w:firstLine="482" w:firstLineChars="200"/>
        <w:jc w:val="both"/>
        <w:rPr>
          <w:rFonts w:hAnsi="宋体" w:cs="宋体"/>
          <w:color w:val="auto"/>
          <w:szCs w:val="24"/>
        </w:rPr>
      </w:pPr>
      <w:bookmarkStart w:id="16" w:name="_Toc366495197"/>
      <w:r>
        <w:rPr>
          <w:rFonts w:hAnsi="宋体" w:cs="宋体"/>
          <w:color w:val="auto"/>
          <w:szCs w:val="24"/>
          <w:u w:val="none"/>
        </w:rPr>
        <w:t>6. 交货方式</w:t>
      </w:r>
      <w:bookmarkEnd w:id="16"/>
    </w:p>
    <w:p w14:paraId="6894541E">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6.1 交货方式一般为下列其中一种，具体在合同特殊条款中规定。</w:t>
      </w:r>
    </w:p>
    <w:p w14:paraId="3957B86B">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6.</w:t>
      </w:r>
      <w:bookmarkStart w:id="17" w:name="_Toc289327691"/>
      <w:bookmarkStart w:id="18" w:name="_Toc330473014"/>
      <w:r>
        <w:rPr>
          <w:rFonts w:hint="eastAsia" w:ascii="宋体" w:hAnsi="宋体" w:cs="宋体"/>
          <w:color w:val="auto"/>
          <w:sz w:val="24"/>
          <w:szCs w:val="24"/>
        </w:rPr>
        <w:t>1.1 现场交货：卖</w:t>
      </w:r>
      <w:bookmarkEnd w:id="17"/>
      <w:bookmarkEnd w:id="18"/>
      <w:r>
        <w:rPr>
          <w:rFonts w:hint="eastAsia" w:ascii="宋体" w:hAnsi="宋体" w:cs="宋体"/>
          <w:color w:val="auto"/>
          <w:sz w:val="24"/>
          <w:szCs w:val="24"/>
        </w:rPr>
        <w:t>方负责办理运输和保险，将货物运抵现场。有关运输和保险的一切费用由卖方承担。所有货物运抵现场的日期为交货日期。</w:t>
      </w:r>
    </w:p>
    <w:p w14:paraId="71947964">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6.1.2 工厂交货：由卖方负责代办运输和保险事宜。运输费和保险费由买方承担。运输部门出具收据的日期为交货日期。</w:t>
      </w:r>
    </w:p>
    <w:p w14:paraId="72ACDD76">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6.1.3 买方自提货物：由买方在合同规定地点自行办理提货。提单日期为交货日期。</w:t>
      </w:r>
    </w:p>
    <w:p w14:paraId="60364651">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6.2 卖方应在合同规定的交货期</w:t>
      </w:r>
      <w:r>
        <w:rPr>
          <w:rFonts w:hint="eastAsia" w:ascii="宋体" w:hAnsi="宋体" w:cs="宋体"/>
          <w:color w:val="auto"/>
          <w:sz w:val="24"/>
          <w:szCs w:val="24"/>
          <w:u w:val="single" w:color="FF0000"/>
        </w:rPr>
        <w:t>2</w:t>
      </w:r>
      <w:r>
        <w:rPr>
          <w:rFonts w:hint="eastAsia" w:ascii="宋体" w:hAnsi="宋体" w:cs="宋体"/>
          <w:color w:val="auto"/>
          <w:sz w:val="24"/>
          <w:szCs w:val="24"/>
        </w:rPr>
        <w:t>天以前以电报或传真形式将合同号、货物名称、数量、包装箱件数、总毛重、总体积（立方米）和备妥交货日期通知买方。同时卖方应用挂号信将详细交货清单一式6份包括合同号、货物名称、规格、数量、总毛重、总体积（立方米）、包装箱件数和每个包装箱的尺寸（长×宽×高）、货物总价和备妥待交日期以及对货物在运输和仓储的特殊要求和注意事项通知买方。</w:t>
      </w:r>
    </w:p>
    <w:p w14:paraId="0B6D36E9">
      <w:pPr>
        <w:tabs>
          <w:tab w:val="left" w:pos="719"/>
        </w:tabs>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6.3 在现场交货和工厂交货条件下，卖方装运的货物不应超过合同规定的数量或重量。否则，卖方应对超运部分引起的一切后果负责。</w:t>
      </w:r>
    </w:p>
    <w:p w14:paraId="2F98EAC8">
      <w:pPr>
        <w:pStyle w:val="3"/>
        <w:widowControl/>
        <w:snapToGrid w:val="0"/>
        <w:spacing w:before="0" w:after="0" w:line="360" w:lineRule="auto"/>
        <w:ind w:firstLine="482" w:firstLineChars="200"/>
        <w:jc w:val="both"/>
        <w:rPr>
          <w:rFonts w:hAnsi="宋体" w:cs="宋体"/>
          <w:color w:val="auto"/>
          <w:szCs w:val="24"/>
        </w:rPr>
      </w:pPr>
      <w:bookmarkStart w:id="19" w:name="_Toc366495198"/>
      <w:r>
        <w:rPr>
          <w:rFonts w:hAnsi="宋体" w:cs="宋体"/>
          <w:color w:val="auto"/>
          <w:szCs w:val="24"/>
          <w:u w:val="none"/>
        </w:rPr>
        <w:t>7. 装运通知</w:t>
      </w:r>
      <w:bookmarkEnd w:id="19"/>
    </w:p>
    <w:p w14:paraId="71683C01">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7.1 在现场交货和工厂交货条件下的货物，卖方通知买方货物已备妥待运</w:t>
      </w:r>
      <w:bookmarkStart w:id="20" w:name="_Toc330473015"/>
      <w:bookmarkStart w:id="21" w:name="_Toc289327692"/>
      <w:r>
        <w:rPr>
          <w:rFonts w:hint="eastAsia" w:ascii="宋体" w:hAnsi="宋体" w:cs="宋体"/>
          <w:color w:val="auto"/>
          <w:sz w:val="24"/>
          <w:szCs w:val="24"/>
        </w:rPr>
        <w:t>输后24小时之内，应将合</w:t>
      </w:r>
      <w:bookmarkEnd w:id="20"/>
      <w:bookmarkEnd w:id="21"/>
      <w:r>
        <w:rPr>
          <w:rFonts w:hint="eastAsia" w:ascii="宋体" w:hAnsi="宋体" w:cs="宋体"/>
          <w:color w:val="auto"/>
          <w:sz w:val="24"/>
          <w:szCs w:val="24"/>
        </w:rPr>
        <w:t>同号、货名、数量、毛重、总体积（立方米）、发票金额、运输工具名称及装运日期，以电报或传真通知买方。</w:t>
      </w:r>
    </w:p>
    <w:p w14:paraId="1C2332C1">
      <w:pPr>
        <w:pStyle w:val="17"/>
        <w:widowControl w:val="0"/>
        <w:snapToGrid w:val="0"/>
        <w:spacing w:before="0" w:line="360" w:lineRule="auto"/>
        <w:ind w:left="0" w:firstLine="480" w:firstLineChars="200"/>
        <w:jc w:val="both"/>
        <w:rPr>
          <w:rFonts w:hAnsi="宋体" w:cs="宋体"/>
          <w:color w:val="auto"/>
          <w:szCs w:val="24"/>
        </w:rPr>
      </w:pPr>
      <w:r>
        <w:rPr>
          <w:rFonts w:hAnsi="宋体" w:cs="宋体"/>
          <w:color w:val="auto"/>
          <w:szCs w:val="24"/>
        </w:rPr>
        <w:t>7.2 如因卖方延误将上述内容用电报或传真通知买方，由此引起的一切后果损失应由卖方负责。</w:t>
      </w:r>
    </w:p>
    <w:p w14:paraId="12F0D0E2">
      <w:pPr>
        <w:pStyle w:val="3"/>
        <w:widowControl/>
        <w:snapToGrid w:val="0"/>
        <w:spacing w:before="0" w:after="0" w:line="360" w:lineRule="auto"/>
        <w:ind w:firstLine="482" w:firstLineChars="200"/>
        <w:jc w:val="both"/>
        <w:rPr>
          <w:rFonts w:hAnsi="宋体" w:cs="宋体"/>
          <w:color w:val="auto"/>
          <w:szCs w:val="24"/>
        </w:rPr>
      </w:pPr>
      <w:bookmarkStart w:id="22" w:name="_Toc366495199"/>
      <w:r>
        <w:rPr>
          <w:rFonts w:hAnsi="宋体" w:cs="宋体"/>
          <w:color w:val="auto"/>
          <w:szCs w:val="24"/>
          <w:u w:val="none"/>
        </w:rPr>
        <w:t>8. 保险</w:t>
      </w:r>
      <w:bookmarkEnd w:id="22"/>
    </w:p>
    <w:p w14:paraId="5E005BCF">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8.1 本次货物为现场交货方式，由卖方负责办理“一切险”。</w:t>
      </w:r>
    </w:p>
    <w:p w14:paraId="6B15BDD8">
      <w:pPr>
        <w:pStyle w:val="3"/>
        <w:widowControl/>
        <w:snapToGrid w:val="0"/>
        <w:spacing w:before="0" w:after="0" w:line="360" w:lineRule="auto"/>
        <w:ind w:firstLine="482" w:firstLineChars="200"/>
        <w:jc w:val="both"/>
        <w:rPr>
          <w:rFonts w:hAnsi="宋体" w:cs="宋体"/>
          <w:color w:val="auto"/>
          <w:szCs w:val="24"/>
        </w:rPr>
      </w:pPr>
      <w:bookmarkStart w:id="23" w:name="_Toc366495200"/>
      <w:r>
        <w:rPr>
          <w:rFonts w:hAnsi="宋体" w:cs="宋体"/>
          <w:color w:val="auto"/>
          <w:szCs w:val="24"/>
          <w:u w:val="none"/>
        </w:rPr>
        <w:t>9. 付款条件</w:t>
      </w:r>
      <w:bookmarkEnd w:id="23"/>
    </w:p>
    <w:p w14:paraId="0BB55E35">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9.1 付款条件见“合同特殊条款”。</w:t>
      </w:r>
    </w:p>
    <w:p w14:paraId="056E4195">
      <w:pPr>
        <w:pStyle w:val="3"/>
        <w:widowControl/>
        <w:snapToGrid w:val="0"/>
        <w:spacing w:before="0" w:after="0" w:line="360" w:lineRule="auto"/>
        <w:ind w:firstLine="482" w:firstLineChars="200"/>
        <w:jc w:val="both"/>
        <w:rPr>
          <w:rFonts w:hAnsi="宋体" w:cs="宋体"/>
          <w:color w:val="auto"/>
          <w:szCs w:val="24"/>
        </w:rPr>
      </w:pPr>
      <w:bookmarkStart w:id="24" w:name="_Toc366495201"/>
      <w:r>
        <w:rPr>
          <w:rFonts w:hAnsi="宋体" w:cs="宋体"/>
          <w:color w:val="auto"/>
          <w:szCs w:val="24"/>
          <w:u w:val="none"/>
        </w:rPr>
        <w:t>10. 技术资料</w:t>
      </w:r>
      <w:bookmarkEnd w:id="24"/>
    </w:p>
    <w:p w14:paraId="36F8D129">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10</w:t>
      </w:r>
      <w:bookmarkStart w:id="25" w:name="_Toc330473017"/>
      <w:bookmarkStart w:id="26" w:name="_Toc289327694"/>
      <w:r>
        <w:rPr>
          <w:rFonts w:hint="eastAsia" w:ascii="宋体" w:hAnsi="宋体" w:cs="宋体"/>
          <w:color w:val="auto"/>
          <w:sz w:val="24"/>
          <w:szCs w:val="24"/>
        </w:rPr>
        <w:t>.1 合同项下技术</w:t>
      </w:r>
      <w:bookmarkEnd w:id="25"/>
      <w:bookmarkEnd w:id="26"/>
      <w:r>
        <w:rPr>
          <w:rFonts w:hint="eastAsia" w:ascii="宋体" w:hAnsi="宋体" w:cs="宋体"/>
          <w:color w:val="auto"/>
          <w:sz w:val="24"/>
          <w:szCs w:val="24"/>
        </w:rPr>
        <w:t>资料（除合同特殊条款规定外）将以下列方式交付：</w:t>
      </w:r>
    </w:p>
    <w:p w14:paraId="163FD30C">
      <w:pPr>
        <w:snapToGrid w:val="0"/>
        <w:spacing w:line="360" w:lineRule="auto"/>
        <w:ind w:firstLine="480" w:firstLineChars="200"/>
        <w:rPr>
          <w:rFonts w:hint="eastAsia" w:ascii="宋体" w:hAnsi="宋体" w:cs="宋体"/>
          <w:color w:val="auto"/>
          <w:sz w:val="24"/>
          <w:szCs w:val="24"/>
        </w:rPr>
      </w:pPr>
      <w:bookmarkStart w:id="27" w:name="_Toc330473018"/>
      <w:bookmarkStart w:id="28" w:name="_Toc289327695"/>
      <w:r>
        <w:rPr>
          <w:rFonts w:hint="eastAsia" w:ascii="宋体" w:hAnsi="宋体" w:cs="宋体"/>
          <w:color w:val="auto"/>
          <w:sz w:val="24"/>
          <w:szCs w:val="24"/>
        </w:rPr>
        <w:t>合同生效后2天之内，卖</w:t>
      </w:r>
      <w:bookmarkEnd w:id="27"/>
      <w:bookmarkEnd w:id="28"/>
      <w:r>
        <w:rPr>
          <w:rFonts w:hint="eastAsia" w:ascii="宋体" w:hAnsi="宋体" w:cs="宋体"/>
          <w:color w:val="auto"/>
          <w:sz w:val="24"/>
          <w:szCs w:val="24"/>
        </w:rPr>
        <w:t>方应将货物包括但不限于每台设备和仪器的中文技术资料一套，如目录索引、图纸、操作手册、使用指南、维修指南和／或服务手册和示意图寄给买方。</w:t>
      </w:r>
    </w:p>
    <w:p w14:paraId="358219C9">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10.2 另外一套完整的上述资料应包装好随同每批货物一起发运。</w:t>
      </w:r>
    </w:p>
    <w:p w14:paraId="78A2A97D">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10.3 如果买方确认卖方提供的技术资料不完整或在运输过程中丢失，卖方将在收到买方通知后天内将这些资料免费寄给买方。</w:t>
      </w:r>
    </w:p>
    <w:p w14:paraId="5F1E2E1B">
      <w:pPr>
        <w:pStyle w:val="3"/>
        <w:widowControl/>
        <w:snapToGrid w:val="0"/>
        <w:spacing w:before="0" w:after="0" w:line="360" w:lineRule="auto"/>
        <w:ind w:firstLine="482" w:firstLineChars="200"/>
        <w:jc w:val="both"/>
        <w:rPr>
          <w:rFonts w:hAnsi="宋体" w:cs="宋体"/>
          <w:color w:val="auto"/>
          <w:szCs w:val="24"/>
        </w:rPr>
      </w:pPr>
      <w:bookmarkStart w:id="29" w:name="_Toc366495202"/>
      <w:r>
        <w:rPr>
          <w:rFonts w:hAnsi="宋体" w:cs="宋体"/>
          <w:color w:val="auto"/>
          <w:szCs w:val="24"/>
          <w:u w:val="none"/>
        </w:rPr>
        <w:t>11. 质量保证</w:t>
      </w:r>
      <w:bookmarkEnd w:id="29"/>
    </w:p>
    <w:p w14:paraId="56A78EBA">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11.1 卖方须保证货物是全新、未使用过的，并完全符合强制性的国家技术</w:t>
      </w:r>
      <w:bookmarkStart w:id="30" w:name="_Toc330473019"/>
      <w:bookmarkStart w:id="31" w:name="_Toc289327696"/>
      <w:r>
        <w:rPr>
          <w:rFonts w:hint="eastAsia" w:ascii="宋体" w:hAnsi="宋体" w:cs="宋体"/>
          <w:color w:val="auto"/>
          <w:sz w:val="24"/>
          <w:szCs w:val="24"/>
        </w:rPr>
        <w:t>质量规范和合同规定的质量</w:t>
      </w:r>
      <w:bookmarkEnd w:id="30"/>
      <w:bookmarkEnd w:id="31"/>
      <w:r>
        <w:rPr>
          <w:rFonts w:hint="eastAsia" w:ascii="宋体" w:hAnsi="宋体" w:cs="宋体"/>
          <w:color w:val="auto"/>
          <w:sz w:val="24"/>
          <w:szCs w:val="24"/>
        </w:rPr>
        <w:t>、规格、性能和技术规范等的要求。</w:t>
      </w:r>
    </w:p>
    <w:p w14:paraId="2465EEA0">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11.2 卖方须保证所提供的货物经正确安装、正常运转和保养，在其使用寿命期内须具有符合质量要求和产品说明书的性能。在货物质量保证期之内，卖方须对由于设计、工艺或材料的缺陷而发生的任何不足或故障负责。</w:t>
      </w:r>
    </w:p>
    <w:p w14:paraId="22B488D0">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11.3 根据买方按检验标准自己检验结果或委托有资质的相关质检机构的检验结果，发现货物的数量、质量、规格与合同不符；或者在质量保证期内，证实货物存在缺陷，包括潜在的缺陷或使用不符合要求的材料等，买方应尽快以书面形式通知卖方。卖方在收到通知后2天内应免费维修或更换有缺陷的货物或部件。</w:t>
      </w:r>
    </w:p>
    <w:p w14:paraId="435A8E68">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11.4 如果卖方在收到通知后天内没有弥补缺陷，买方可采取必要的补救措施，但由此引发的风险和费用将由卖方承担。</w:t>
      </w:r>
    </w:p>
    <w:p w14:paraId="37836610">
      <w:pPr>
        <w:snapToGrid w:val="0"/>
        <w:spacing w:line="360" w:lineRule="auto"/>
        <w:ind w:firstLine="482" w:firstLineChars="200"/>
        <w:rPr>
          <w:rFonts w:hint="eastAsia" w:ascii="宋体" w:hAnsi="宋体" w:cs="宋体"/>
          <w:b/>
          <w:color w:val="auto"/>
          <w:sz w:val="24"/>
          <w:szCs w:val="24"/>
        </w:rPr>
      </w:pPr>
      <w:r>
        <w:rPr>
          <w:rFonts w:hint="eastAsia" w:ascii="宋体" w:hAnsi="宋体" w:cs="宋体"/>
          <w:b/>
          <w:color w:val="auto"/>
          <w:sz w:val="24"/>
          <w:szCs w:val="24"/>
        </w:rPr>
        <w:t>11.5 除合同书、合同特殊条款或报价文件 “货物内容及要求”部分货物质保特殊要求以外，合同项下货物的质量保证期为自货物通过最终验收起</w:t>
      </w:r>
      <w:r>
        <w:rPr>
          <w:rFonts w:hint="eastAsia" w:ascii="宋体" w:hAnsi="宋体" w:cs="宋体"/>
          <w:b/>
          <w:color w:val="auto"/>
          <w:sz w:val="24"/>
          <w:szCs w:val="24"/>
          <w:lang w:val="en-US" w:eastAsia="zh-CN"/>
        </w:rPr>
        <w:t>2</w:t>
      </w:r>
      <w:r>
        <w:rPr>
          <w:rFonts w:hint="eastAsia" w:ascii="宋体" w:hAnsi="宋体" w:cs="宋体"/>
          <w:b/>
          <w:color w:val="auto"/>
          <w:sz w:val="24"/>
          <w:szCs w:val="24"/>
        </w:rPr>
        <w:t>年。</w:t>
      </w:r>
    </w:p>
    <w:p w14:paraId="2A8D81DC">
      <w:pPr>
        <w:pStyle w:val="3"/>
        <w:widowControl/>
        <w:snapToGrid w:val="0"/>
        <w:spacing w:before="0" w:after="0" w:line="360" w:lineRule="auto"/>
        <w:ind w:firstLine="482" w:firstLineChars="200"/>
        <w:jc w:val="both"/>
        <w:rPr>
          <w:rFonts w:hAnsi="宋体" w:cs="宋体"/>
          <w:color w:val="auto"/>
          <w:szCs w:val="24"/>
        </w:rPr>
      </w:pPr>
      <w:bookmarkStart w:id="32" w:name="_Toc366495203"/>
      <w:r>
        <w:rPr>
          <w:rFonts w:hAnsi="宋体" w:cs="宋体"/>
          <w:color w:val="auto"/>
          <w:szCs w:val="24"/>
          <w:u w:val="none"/>
        </w:rPr>
        <w:t>12. 检验和验收</w:t>
      </w:r>
      <w:bookmarkEnd w:id="32"/>
    </w:p>
    <w:p w14:paraId="540E3EFE">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12.1 在交货前，中标人/成交人应对货物的质量、规格、性能、数量和重量等进</w:t>
      </w:r>
      <w:bookmarkStart w:id="33" w:name="_Toc289327697"/>
      <w:bookmarkStart w:id="34" w:name="_Toc330473020"/>
      <w:r>
        <w:rPr>
          <w:rFonts w:hint="eastAsia" w:ascii="宋体" w:hAnsi="宋体" w:cs="宋体"/>
          <w:color w:val="auto"/>
          <w:sz w:val="24"/>
          <w:szCs w:val="24"/>
        </w:rPr>
        <w:t>行详细而全面的检验，并出具</w:t>
      </w:r>
      <w:bookmarkEnd w:id="33"/>
      <w:bookmarkEnd w:id="34"/>
      <w:r>
        <w:rPr>
          <w:rFonts w:hint="eastAsia" w:ascii="宋体" w:hAnsi="宋体" w:cs="宋体"/>
          <w:color w:val="auto"/>
          <w:sz w:val="24"/>
          <w:szCs w:val="24"/>
        </w:rPr>
        <w:t>证明货物符合合同规定的文件。该文件将作为申请付款单据的一部分，但有关质量、规格、性能、数量或重量的检验不应视为最终检验。</w:t>
      </w:r>
    </w:p>
    <w:p w14:paraId="29291D32">
      <w:pPr>
        <w:snapToGrid w:val="0"/>
        <w:spacing w:line="360" w:lineRule="auto"/>
        <w:ind w:firstLine="480" w:firstLineChars="200"/>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12.2货物制作过程中，卖方需配合买方赴货物制作现场进行中期验收，中期验收通过后方可继续制作。</w:t>
      </w:r>
    </w:p>
    <w:p w14:paraId="2A4315E7">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12.2 货物运抵现场后，买方应在</w:t>
      </w:r>
      <w:r>
        <w:rPr>
          <w:rFonts w:hint="eastAsia" w:ascii="宋体" w:hAnsi="宋体" w:cs="宋体"/>
          <w:color w:val="auto"/>
          <w:sz w:val="24"/>
          <w:szCs w:val="24"/>
          <w:u w:val="single"/>
        </w:rPr>
        <w:t>7</w:t>
      </w:r>
      <w:r>
        <w:rPr>
          <w:rFonts w:hint="eastAsia" w:ascii="宋体" w:hAnsi="宋体" w:cs="宋体"/>
          <w:color w:val="auto"/>
          <w:sz w:val="24"/>
          <w:szCs w:val="24"/>
        </w:rPr>
        <w:t>日内组织验收，并制作验收单存档。</w:t>
      </w:r>
    </w:p>
    <w:p w14:paraId="5D229B0E">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12.3 买方有在货物制造过程中派员监造的权利，卖方有义务为买方监造人员行使该权利提供方便。</w:t>
      </w:r>
    </w:p>
    <w:p w14:paraId="3C36DE65">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12.4 制造厂对所供货物进行机械运转试验和性能试验时，中标人/成交人必须提前通知买方。</w:t>
      </w:r>
    </w:p>
    <w:p w14:paraId="7251D6A9">
      <w:pPr>
        <w:pStyle w:val="3"/>
        <w:widowControl/>
        <w:snapToGrid w:val="0"/>
        <w:spacing w:before="0" w:after="0" w:line="360" w:lineRule="auto"/>
        <w:ind w:firstLine="482" w:firstLineChars="200"/>
        <w:jc w:val="both"/>
        <w:rPr>
          <w:rFonts w:hAnsi="宋体" w:cs="宋体"/>
          <w:color w:val="auto"/>
          <w:szCs w:val="24"/>
        </w:rPr>
      </w:pPr>
      <w:bookmarkStart w:id="35" w:name="_Toc366495204"/>
      <w:r>
        <w:rPr>
          <w:rFonts w:hAnsi="宋体" w:cs="宋体"/>
          <w:color w:val="auto"/>
          <w:szCs w:val="24"/>
          <w:u w:val="none"/>
        </w:rPr>
        <w:t>13. 索赔</w:t>
      </w:r>
      <w:bookmarkEnd w:id="35"/>
    </w:p>
    <w:p w14:paraId="1B3F8B57">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13.1 如果货物的质量、规格、数量、重量等与合同不符，或在第11.5规定</w:t>
      </w:r>
      <w:bookmarkStart w:id="36" w:name="_Toc330473021"/>
      <w:bookmarkStart w:id="37" w:name="_Toc289327698"/>
      <w:r>
        <w:rPr>
          <w:rFonts w:hint="eastAsia" w:ascii="宋体" w:hAnsi="宋体" w:cs="宋体"/>
          <w:color w:val="auto"/>
          <w:sz w:val="24"/>
          <w:szCs w:val="24"/>
        </w:rPr>
        <w:t>的质量保证期内证实货</w:t>
      </w:r>
      <w:bookmarkEnd w:id="36"/>
      <w:bookmarkEnd w:id="37"/>
      <w:r>
        <w:rPr>
          <w:rFonts w:hint="eastAsia" w:ascii="宋体" w:hAnsi="宋体" w:cs="宋体"/>
          <w:color w:val="auto"/>
          <w:sz w:val="24"/>
          <w:szCs w:val="24"/>
        </w:rPr>
        <w:t>物存有缺陷，包括潜在的缺陷或使用不符合要求的材料等，买方有权根据有资质的权威质检机构的检验结果向卖方提出索赔（但责任应由保险公司或运输部门承担的除外）。</w:t>
      </w:r>
    </w:p>
    <w:p w14:paraId="4E866423">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13.2 在根据合同第11条和第12条规定的检验期和质量保证期内，如果卖方对买方提出的索赔负有责任，卖方应按照买方同意的下列一种或多种方式解决索赔事宜：</w:t>
      </w:r>
    </w:p>
    <w:p w14:paraId="6C16D7E4">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13.2.1 在法定的退货期内，卖方应按合同规定将货款退还给买方，并承担由此发生的一切损失和费用，包括利息、银行手续费、运费、保险费、检验费、仓储费、装卸费以及为保护退回货物所需的其它必要费用。如已超过退货期，但卖方同意退货，可比照上述办法办理，或由双方协商处理。</w:t>
      </w:r>
    </w:p>
    <w:p w14:paraId="15871065">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13.2.2 根据货物低劣程度、损坏程度以及买方所遭受损失的数额，经买卖双方商定降低货物的价格，或由有权的部门评估，以降低后的价格或评估价格为准。</w:t>
      </w:r>
    </w:p>
    <w:p w14:paraId="7CD127FB">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13.2.3 用符合规格、质量和性能要求的新零件、部件或货物来更换有缺陷的部分或／和修补缺陷部分，卖方应承担一切费用和风险并负担买方所发生的一切直接费用。同时，卖方应按合同第11条规定，相应延长修补或更换件的质量保证期。</w:t>
      </w:r>
    </w:p>
    <w:p w14:paraId="15A53D94">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13.3 如果在买方发出索赔通知后2天内，卖方未作答复，上述索赔应视为已被卖方接受。如卖方未能在买方提出索赔通知后2天内或买方同意的更长时间内，按照本合同第13.2条规定的任何一种方法解决索赔事宜，买方将从合同款中扣回索赔金额。如果这些金额不足以补偿索赔金额，买方有权向卖方提出不足部分的补偿。</w:t>
      </w:r>
    </w:p>
    <w:p w14:paraId="13FC908D">
      <w:pPr>
        <w:pStyle w:val="3"/>
        <w:widowControl/>
        <w:snapToGrid w:val="0"/>
        <w:spacing w:before="0" w:after="0" w:line="360" w:lineRule="auto"/>
        <w:ind w:firstLine="482" w:firstLineChars="200"/>
        <w:jc w:val="both"/>
        <w:rPr>
          <w:rFonts w:hAnsi="宋体" w:cs="宋体"/>
          <w:color w:val="auto"/>
          <w:szCs w:val="24"/>
        </w:rPr>
      </w:pPr>
      <w:bookmarkStart w:id="38" w:name="_Toc366495205"/>
      <w:r>
        <w:rPr>
          <w:rFonts w:hAnsi="宋体" w:cs="宋体"/>
          <w:color w:val="auto"/>
          <w:szCs w:val="24"/>
          <w:u w:val="none"/>
        </w:rPr>
        <w:t>14. 迟延交货</w:t>
      </w:r>
      <w:bookmarkEnd w:id="38"/>
    </w:p>
    <w:p w14:paraId="19812E74">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14.1 卖方应按照</w:t>
      </w:r>
      <w:r>
        <w:rPr>
          <w:rFonts w:hint="eastAsia" w:ascii="宋体" w:hAnsi="宋体" w:cs="宋体"/>
          <w:color w:val="auto"/>
          <w:sz w:val="24"/>
          <w:szCs w:val="24"/>
          <w:u w:val="single"/>
        </w:rPr>
        <w:t>“</w:t>
      </w:r>
      <w:r>
        <w:rPr>
          <w:rFonts w:hint="eastAsia" w:ascii="宋体" w:hAnsi="宋体" w:cs="宋体"/>
          <w:color w:val="auto"/>
          <w:sz w:val="24"/>
          <w:szCs w:val="24"/>
          <w:u w:val="single"/>
          <w:lang w:val="en-US" w:eastAsia="zh-CN"/>
        </w:rPr>
        <w:t>附件：</w:t>
      </w:r>
      <w:r>
        <w:rPr>
          <w:rFonts w:hint="eastAsia" w:ascii="宋体" w:hAnsi="宋体" w:cs="宋体"/>
          <w:color w:val="auto"/>
          <w:sz w:val="24"/>
          <w:szCs w:val="24"/>
          <w:u w:val="single"/>
        </w:rPr>
        <w:t>《古代木帆船模型及参数要求》”</w:t>
      </w:r>
      <w:r>
        <w:rPr>
          <w:rFonts w:hint="eastAsia" w:ascii="宋体" w:hAnsi="宋体" w:cs="宋体"/>
          <w:color w:val="auto"/>
          <w:sz w:val="24"/>
          <w:szCs w:val="24"/>
        </w:rPr>
        <w:t>中买方规定的时间表交货</w:t>
      </w:r>
      <w:bookmarkStart w:id="39" w:name="_Toc289327699"/>
      <w:bookmarkStart w:id="40" w:name="_Toc330473022"/>
      <w:r>
        <w:rPr>
          <w:rFonts w:hint="eastAsia" w:ascii="宋体" w:hAnsi="宋体" w:cs="宋体"/>
          <w:color w:val="auto"/>
          <w:sz w:val="24"/>
          <w:szCs w:val="24"/>
        </w:rPr>
        <w:t>和提供服务。</w:t>
      </w:r>
    </w:p>
    <w:p w14:paraId="196C123F">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 xml:space="preserve">14.2 </w:t>
      </w:r>
      <w:bookmarkEnd w:id="39"/>
      <w:bookmarkEnd w:id="40"/>
      <w:r>
        <w:rPr>
          <w:rFonts w:hint="eastAsia" w:ascii="宋体" w:hAnsi="宋体" w:cs="宋体"/>
          <w:color w:val="auto"/>
          <w:sz w:val="24"/>
          <w:szCs w:val="24"/>
        </w:rPr>
        <w:t>如果卖方无正当理由迟延交货，买方有权提出违约损失赔偿或解除合同。</w:t>
      </w:r>
    </w:p>
    <w:p w14:paraId="08158337">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14.3 在履行合同过程中，如果卖方遇到不能按时交货和提供服务的情况，应及时以书面形式将不能按时交货的理由、预期延误时间通知买方。买方收到卖方通知后，认为其理由正当的，可酌情延长交货时间。</w:t>
      </w:r>
    </w:p>
    <w:p w14:paraId="65A6DE42">
      <w:pPr>
        <w:pStyle w:val="3"/>
        <w:widowControl/>
        <w:snapToGrid w:val="0"/>
        <w:spacing w:before="0" w:after="0" w:line="360" w:lineRule="auto"/>
        <w:ind w:firstLine="482" w:firstLineChars="200"/>
        <w:jc w:val="both"/>
        <w:rPr>
          <w:rFonts w:hAnsi="宋体" w:cs="宋体"/>
          <w:color w:val="auto"/>
          <w:szCs w:val="24"/>
        </w:rPr>
      </w:pPr>
      <w:bookmarkStart w:id="41" w:name="_Toc366495206"/>
      <w:r>
        <w:rPr>
          <w:rFonts w:hAnsi="宋体" w:cs="宋体"/>
          <w:color w:val="auto"/>
          <w:szCs w:val="24"/>
          <w:u w:val="none"/>
        </w:rPr>
        <w:t>15. 违约赔偿</w:t>
      </w:r>
      <w:bookmarkEnd w:id="41"/>
    </w:p>
    <w:p w14:paraId="4A7F3660">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15.1 除合同第16条规定外，如果卖方没有按照合同规定的时间交货和提</w:t>
      </w:r>
      <w:bookmarkStart w:id="42" w:name="_Toc330473023"/>
      <w:bookmarkStart w:id="43" w:name="_Toc289327700"/>
      <w:r>
        <w:rPr>
          <w:rFonts w:hint="eastAsia" w:ascii="宋体" w:hAnsi="宋体" w:cs="宋体"/>
          <w:color w:val="auto"/>
          <w:sz w:val="24"/>
          <w:szCs w:val="24"/>
        </w:rPr>
        <w:t>供服务，买方可要求卖方支</w:t>
      </w:r>
      <w:bookmarkEnd w:id="42"/>
      <w:bookmarkEnd w:id="43"/>
      <w:r>
        <w:rPr>
          <w:rFonts w:hint="eastAsia" w:ascii="宋体" w:hAnsi="宋体" w:cs="宋体"/>
          <w:color w:val="auto"/>
          <w:sz w:val="24"/>
          <w:szCs w:val="24"/>
        </w:rPr>
        <w:t>付违约金。违约金按每周迟交货物或未提供服务交货价的0.5%计收。但违约金的最高限额为迟交货物或没有提供服务的合同价的5%。一周按７天计算，不足７天按一周计算。如果达到最高限额，买方有权解除合同。</w:t>
      </w:r>
    </w:p>
    <w:p w14:paraId="6ACF7F7E">
      <w:pPr>
        <w:pStyle w:val="3"/>
        <w:widowControl/>
        <w:snapToGrid w:val="0"/>
        <w:spacing w:before="0" w:after="0" w:line="360" w:lineRule="auto"/>
        <w:ind w:firstLine="482" w:firstLineChars="200"/>
        <w:jc w:val="both"/>
        <w:rPr>
          <w:rFonts w:hAnsi="宋体" w:cs="宋体"/>
          <w:color w:val="auto"/>
          <w:szCs w:val="24"/>
        </w:rPr>
      </w:pPr>
      <w:bookmarkStart w:id="44" w:name="_Toc366495207"/>
      <w:r>
        <w:rPr>
          <w:rFonts w:hAnsi="宋体" w:cs="宋体"/>
          <w:color w:val="auto"/>
          <w:szCs w:val="24"/>
          <w:u w:val="none"/>
        </w:rPr>
        <w:t>16. 不可抗力</w:t>
      </w:r>
      <w:bookmarkEnd w:id="44"/>
    </w:p>
    <w:p w14:paraId="3D92A944">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16.1 如果双方中任何一方遭遇法律规定的不可抗力，致使合同履行受阻时</w:t>
      </w:r>
      <w:bookmarkStart w:id="45" w:name="_Toc289327701"/>
      <w:bookmarkStart w:id="46" w:name="_Toc330473024"/>
      <w:r>
        <w:rPr>
          <w:rFonts w:hint="eastAsia" w:ascii="宋体" w:hAnsi="宋体" w:cs="宋体"/>
          <w:color w:val="auto"/>
          <w:sz w:val="24"/>
          <w:szCs w:val="24"/>
        </w:rPr>
        <w:t>，履行合同的期限应予延长</w:t>
      </w:r>
      <w:bookmarkEnd w:id="45"/>
      <w:bookmarkEnd w:id="46"/>
      <w:r>
        <w:rPr>
          <w:rFonts w:hint="eastAsia" w:ascii="宋体" w:hAnsi="宋体" w:cs="宋体"/>
          <w:color w:val="auto"/>
          <w:sz w:val="24"/>
          <w:szCs w:val="24"/>
        </w:rPr>
        <w:t>，延长的期限应相当于不可抗力所影响的时间。</w:t>
      </w:r>
    </w:p>
    <w:p w14:paraId="50840D0B">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16.2 受事故影响的一方应在不可抗力的事故发生后尽快书面形式通知另一方，并在事故发生后15天内，将有关部门出具的证明文件送达另一方。</w:t>
      </w:r>
    </w:p>
    <w:p w14:paraId="68E6BC3C">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16.3 不可抗力使合同的某些内容有变更必要的，双方应通过协商在7日内达成进一步履行合同的协议，因不可抗力致使合同不能履行的，合同终止。</w:t>
      </w:r>
    </w:p>
    <w:p w14:paraId="4B6CE1D9">
      <w:pPr>
        <w:pStyle w:val="3"/>
        <w:widowControl/>
        <w:snapToGrid w:val="0"/>
        <w:spacing w:before="0" w:after="0" w:line="360" w:lineRule="auto"/>
        <w:ind w:firstLine="482" w:firstLineChars="200"/>
        <w:jc w:val="both"/>
        <w:rPr>
          <w:rFonts w:hAnsi="宋体" w:cs="宋体"/>
          <w:color w:val="auto"/>
          <w:szCs w:val="24"/>
        </w:rPr>
      </w:pPr>
      <w:bookmarkStart w:id="47" w:name="_Toc366495208"/>
      <w:r>
        <w:rPr>
          <w:rFonts w:hAnsi="宋体" w:cs="宋体"/>
          <w:color w:val="auto"/>
          <w:szCs w:val="24"/>
          <w:u w:val="none"/>
        </w:rPr>
        <w:t>17. 税费</w:t>
      </w:r>
      <w:bookmarkEnd w:id="47"/>
    </w:p>
    <w:p w14:paraId="06DCA3B7">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17.1 与本合同有关的一切税费均适用中华人民共和国法律的相关规定。</w:t>
      </w:r>
    </w:p>
    <w:p w14:paraId="55E96D7E">
      <w:pPr>
        <w:pStyle w:val="3"/>
        <w:widowControl/>
        <w:snapToGrid w:val="0"/>
        <w:spacing w:before="0" w:after="0" w:line="360" w:lineRule="auto"/>
        <w:ind w:firstLine="482" w:firstLineChars="200"/>
        <w:jc w:val="both"/>
        <w:rPr>
          <w:rFonts w:hAnsi="宋体" w:cs="宋体"/>
          <w:color w:val="auto"/>
          <w:szCs w:val="24"/>
        </w:rPr>
      </w:pPr>
      <w:bookmarkStart w:id="48" w:name="_Toc366495209"/>
      <w:r>
        <w:rPr>
          <w:rFonts w:hAnsi="宋体" w:cs="宋体"/>
          <w:color w:val="auto"/>
          <w:szCs w:val="24"/>
          <w:u w:val="none"/>
        </w:rPr>
        <w:t>18</w:t>
      </w:r>
      <w:bookmarkStart w:id="49" w:name="_Toc330473025"/>
      <w:bookmarkStart w:id="50" w:name="_Toc289327702"/>
      <w:r>
        <w:rPr>
          <w:rFonts w:hAnsi="宋体" w:cs="宋体"/>
          <w:color w:val="auto"/>
          <w:szCs w:val="24"/>
          <w:u w:val="none"/>
        </w:rPr>
        <w:t>. 合同争议</w:t>
      </w:r>
      <w:bookmarkEnd w:id="49"/>
      <w:bookmarkEnd w:id="50"/>
      <w:r>
        <w:rPr>
          <w:rFonts w:hAnsi="宋体" w:cs="宋体"/>
          <w:color w:val="auto"/>
          <w:szCs w:val="24"/>
          <w:u w:val="none"/>
        </w:rPr>
        <w:t>的解决</w:t>
      </w:r>
      <w:bookmarkEnd w:id="48"/>
    </w:p>
    <w:p w14:paraId="0D6CE0E5">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18.1 因合同履行中发生的争议，可通过合同当事人双方友好协商解</w:t>
      </w:r>
      <w:bookmarkStart w:id="51" w:name="_Toc330473026"/>
      <w:bookmarkStart w:id="52" w:name="_Toc289327703"/>
      <w:r>
        <w:rPr>
          <w:rFonts w:hint="eastAsia" w:ascii="宋体" w:hAnsi="宋体" w:cs="宋体"/>
          <w:color w:val="auto"/>
          <w:sz w:val="24"/>
          <w:szCs w:val="24"/>
        </w:rPr>
        <w:t>决。如自协商开始之起15日内得</w:t>
      </w:r>
      <w:bookmarkEnd w:id="51"/>
      <w:bookmarkEnd w:id="52"/>
      <w:r>
        <w:rPr>
          <w:rFonts w:hint="eastAsia" w:ascii="宋体" w:hAnsi="宋体" w:cs="宋体"/>
          <w:color w:val="auto"/>
          <w:sz w:val="24"/>
          <w:szCs w:val="24"/>
        </w:rPr>
        <w:t>不到解决且调解不成的，可采取以下第</w:t>
      </w:r>
      <w:r>
        <w:rPr>
          <w:rFonts w:hint="eastAsia" w:ascii="宋体" w:hAnsi="宋体" w:cs="宋体"/>
          <w:color w:val="auto"/>
          <w:sz w:val="24"/>
          <w:szCs w:val="24"/>
          <w:u w:val="single"/>
        </w:rPr>
        <w:t xml:space="preserve"> </w:t>
      </w:r>
      <w:r>
        <w:rPr>
          <w:rFonts w:ascii="宋体" w:hAnsi="宋体" w:cs="宋体"/>
          <w:color w:val="auto"/>
          <w:sz w:val="24"/>
          <w:szCs w:val="24"/>
          <w:u w:val="single"/>
        </w:rPr>
        <w:t xml:space="preserve"> </w:t>
      </w:r>
      <w:r>
        <w:rPr>
          <w:rFonts w:hint="eastAsia" w:ascii="宋体" w:hAnsi="宋体" w:cs="宋体"/>
          <w:color w:val="auto"/>
          <w:sz w:val="24"/>
          <w:szCs w:val="24"/>
          <w:u w:val="single"/>
        </w:rPr>
        <w:t>2</w:t>
      </w:r>
      <w:r>
        <w:rPr>
          <w:rFonts w:ascii="宋体" w:hAnsi="宋体" w:cs="宋体"/>
          <w:color w:val="auto"/>
          <w:sz w:val="24"/>
          <w:szCs w:val="24"/>
          <w:u w:val="single"/>
        </w:rPr>
        <w:t xml:space="preserve">  </w:t>
      </w:r>
      <w:r>
        <w:rPr>
          <w:rFonts w:hint="eastAsia" w:ascii="宋体" w:hAnsi="宋体" w:cs="宋体"/>
          <w:color w:val="auto"/>
          <w:sz w:val="24"/>
          <w:szCs w:val="24"/>
        </w:rPr>
        <w:t xml:space="preserve">种方式： </w:t>
      </w:r>
    </w:p>
    <w:p w14:paraId="349DC7AC">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1、申请北京仲裁委员会进行仲裁</w:t>
      </w:r>
    </w:p>
    <w:p w14:paraId="68F6D050">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2、向买方所在地有管辖权的人民法院提起诉讼。</w:t>
      </w:r>
    </w:p>
    <w:p w14:paraId="195E60BA">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18.2 仲裁裁决为最终裁决，当事人一方在规定时间内不履行仲裁机构裁决的，另一方可以申请人民法院强制执行。</w:t>
      </w:r>
    </w:p>
    <w:p w14:paraId="62CE3C60">
      <w:pPr>
        <w:tabs>
          <w:tab w:val="left" w:pos="901"/>
        </w:tabs>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18.3 仲裁费用和诉讼费用除仲裁机构或法院另有裁决外，应由败诉方负担。</w:t>
      </w:r>
    </w:p>
    <w:p w14:paraId="475092AD">
      <w:pPr>
        <w:pStyle w:val="3"/>
        <w:widowControl/>
        <w:snapToGrid w:val="0"/>
        <w:spacing w:before="0" w:after="0" w:line="360" w:lineRule="auto"/>
        <w:ind w:firstLine="482" w:firstLineChars="200"/>
        <w:jc w:val="both"/>
        <w:rPr>
          <w:rFonts w:hAnsi="宋体" w:cs="宋体"/>
          <w:color w:val="auto"/>
          <w:szCs w:val="24"/>
        </w:rPr>
      </w:pPr>
      <w:bookmarkStart w:id="53" w:name="_Toc366495210"/>
      <w:r>
        <w:rPr>
          <w:rFonts w:hAnsi="宋体" w:cs="宋体"/>
          <w:color w:val="auto"/>
          <w:szCs w:val="24"/>
          <w:u w:val="none"/>
        </w:rPr>
        <w:t>19. 违约解除合同</w:t>
      </w:r>
      <w:bookmarkEnd w:id="53"/>
    </w:p>
    <w:p w14:paraId="2A34F6FF">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19.1 在卖方违约的情况下，买方</w:t>
      </w:r>
      <w:bookmarkStart w:id="54" w:name="_Toc330473027"/>
      <w:bookmarkStart w:id="55" w:name="_Toc289327704"/>
      <w:r>
        <w:rPr>
          <w:rFonts w:hint="eastAsia" w:ascii="宋体" w:hAnsi="宋体" w:cs="宋体"/>
          <w:color w:val="auto"/>
          <w:sz w:val="24"/>
          <w:szCs w:val="24"/>
        </w:rPr>
        <w:t>可向卖方发出书面通知，部分</w:t>
      </w:r>
      <w:bookmarkEnd w:id="54"/>
      <w:bookmarkEnd w:id="55"/>
      <w:r>
        <w:rPr>
          <w:rFonts w:hint="eastAsia" w:ascii="宋体" w:hAnsi="宋体" w:cs="宋体"/>
          <w:color w:val="auto"/>
          <w:sz w:val="24"/>
          <w:szCs w:val="24"/>
        </w:rPr>
        <w:t>或全部解除合同。同时保留向卖方追诉的权利。</w:t>
      </w:r>
    </w:p>
    <w:p w14:paraId="4BE6DA1A">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19.1.1 卖方未能在合同规定的限期或买方同意延长的限期内，提供全部或部分货物的；</w:t>
      </w:r>
    </w:p>
    <w:p w14:paraId="7C97543C">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19.1.2 卖方未能履行合同规定的其它主要义务的；</w:t>
      </w:r>
    </w:p>
    <w:p w14:paraId="14CAA718">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19.1.3 买方认为卖方在本合同履行过程中有腐败和欺诈行为的。</w:t>
      </w:r>
    </w:p>
    <w:p w14:paraId="3CF90D37">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19.1.3.1 “腐败行为”和“欺诈行为”定义如下：</w:t>
      </w:r>
    </w:p>
    <w:p w14:paraId="2D5FCDDC">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19.1.3.1.1 “腐败行为”是指提供/给予/接受或索取任何有价值的东西来影响买方在合同签定、履行过程中的行为。</w:t>
      </w:r>
    </w:p>
    <w:p w14:paraId="3A861121">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19.1.3.1.2 “欺诈行为”是指为了影响合同签定、履行过程，以谎报事实的方法，损害买方的利益的行为。</w:t>
      </w:r>
    </w:p>
    <w:p w14:paraId="142ACC6B">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19.2 在买方根据上述第19.1条规定，全部或部分解除合同之后，应当遵循诚实信用原则，购买与未交付的货物类似的货物或服务，卖方应承担买方购买类似货物或服务而产生的额外支出。部分解除合同的，卖方应继续履行合同中未解除的部分。</w:t>
      </w:r>
    </w:p>
    <w:p w14:paraId="41473780">
      <w:pPr>
        <w:pStyle w:val="3"/>
        <w:widowControl/>
        <w:snapToGrid w:val="0"/>
        <w:spacing w:before="0" w:after="0" w:line="360" w:lineRule="auto"/>
        <w:ind w:firstLine="482" w:firstLineChars="200"/>
        <w:jc w:val="both"/>
        <w:rPr>
          <w:rFonts w:hAnsi="宋体" w:cs="宋体"/>
          <w:color w:val="auto"/>
          <w:szCs w:val="24"/>
          <w:u w:val="none"/>
        </w:rPr>
      </w:pPr>
      <w:bookmarkStart w:id="56" w:name="_Toc366495212"/>
      <w:r>
        <w:rPr>
          <w:rFonts w:hAnsi="宋体" w:cs="宋体"/>
          <w:color w:val="auto"/>
          <w:szCs w:val="24"/>
          <w:u w:val="none"/>
        </w:rPr>
        <w:t>20. 转让和分包</w:t>
      </w:r>
      <w:bookmarkEnd w:id="56"/>
    </w:p>
    <w:p w14:paraId="6D8B63B1">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20.1如乙方未经甲方同意擅自转包，或转包行为违反本合同的其他规定，甲方有权解除合同，并追究乙方的违约责任，乙方须赔付甲方本合同金额5%为违约金。</w:t>
      </w:r>
    </w:p>
    <w:p w14:paraId="0544AB1E">
      <w:pPr>
        <w:pStyle w:val="3"/>
        <w:widowControl/>
        <w:snapToGrid w:val="0"/>
        <w:spacing w:before="0" w:after="0" w:line="360" w:lineRule="auto"/>
        <w:ind w:firstLine="482" w:firstLineChars="200"/>
        <w:jc w:val="both"/>
        <w:rPr>
          <w:rFonts w:hAnsi="宋体" w:cs="宋体"/>
          <w:color w:val="auto"/>
          <w:szCs w:val="24"/>
        </w:rPr>
      </w:pPr>
      <w:bookmarkStart w:id="57" w:name="_Toc366495213"/>
      <w:r>
        <w:rPr>
          <w:rFonts w:hAnsi="宋体" w:cs="宋体"/>
          <w:color w:val="auto"/>
          <w:szCs w:val="24"/>
          <w:u w:val="none"/>
        </w:rPr>
        <w:t xml:space="preserve">21. </w:t>
      </w:r>
      <w:r>
        <w:rPr>
          <w:rFonts w:hAnsi="宋体" w:cs="宋体"/>
          <w:color w:val="auto"/>
          <w:szCs w:val="24"/>
          <w:u w:val="none" w:color="FF0000"/>
        </w:rPr>
        <w:t>合同修改</w:t>
      </w:r>
      <w:bookmarkEnd w:id="57"/>
    </w:p>
    <w:p w14:paraId="59307897">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22.1 买方和卖方都不得擅自变更本合同，但合同继续履行将损害国家和社</w:t>
      </w:r>
      <w:bookmarkStart w:id="58" w:name="_Toc289327707"/>
      <w:bookmarkStart w:id="59" w:name="_Toc330473030"/>
      <w:r>
        <w:rPr>
          <w:rFonts w:hint="eastAsia" w:ascii="宋体" w:hAnsi="宋体" w:cs="宋体"/>
          <w:color w:val="auto"/>
          <w:sz w:val="24"/>
          <w:szCs w:val="24"/>
        </w:rPr>
        <w:t>会公共利益的除外。如必须</w:t>
      </w:r>
      <w:bookmarkEnd w:id="58"/>
      <w:bookmarkEnd w:id="59"/>
      <w:r>
        <w:rPr>
          <w:rFonts w:hint="eastAsia" w:ascii="宋体" w:hAnsi="宋体" w:cs="宋体"/>
          <w:color w:val="auto"/>
          <w:sz w:val="24"/>
          <w:szCs w:val="24"/>
        </w:rPr>
        <w:t>对合同条款进行修改或补充的，须签订书面补充协议经双方法定代表人签字并加盖单位公章后，方可作为主合同不可分割的一部分。。</w:t>
      </w:r>
    </w:p>
    <w:p w14:paraId="2FE8A3BD">
      <w:pPr>
        <w:pStyle w:val="3"/>
        <w:widowControl/>
        <w:snapToGrid w:val="0"/>
        <w:spacing w:before="0" w:after="0" w:line="360" w:lineRule="auto"/>
        <w:ind w:firstLine="482" w:firstLineChars="200"/>
        <w:jc w:val="both"/>
        <w:rPr>
          <w:rFonts w:hAnsi="宋体" w:cs="宋体"/>
          <w:color w:val="auto"/>
          <w:szCs w:val="24"/>
        </w:rPr>
      </w:pPr>
      <w:bookmarkStart w:id="60" w:name="_Toc366495214"/>
      <w:r>
        <w:rPr>
          <w:rFonts w:hAnsi="宋体" w:cs="宋体"/>
          <w:color w:val="auto"/>
          <w:szCs w:val="24"/>
          <w:u w:val="none"/>
        </w:rPr>
        <w:t>22. 通知</w:t>
      </w:r>
      <w:bookmarkEnd w:id="60"/>
    </w:p>
    <w:p w14:paraId="275C4971">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22.1 本合同任何一方给另一方的通知，都应以书面形式发送，而另一方也应以</w:t>
      </w:r>
      <w:bookmarkStart w:id="61" w:name="_Toc289327708"/>
      <w:bookmarkStart w:id="62" w:name="_Toc330473031"/>
      <w:r>
        <w:rPr>
          <w:rFonts w:hint="eastAsia" w:ascii="宋体" w:hAnsi="宋体" w:cs="宋体"/>
          <w:color w:val="auto"/>
          <w:sz w:val="24"/>
          <w:szCs w:val="24"/>
        </w:rPr>
        <w:t>书面形式确认并发送到</w:t>
      </w:r>
      <w:bookmarkEnd w:id="61"/>
      <w:bookmarkEnd w:id="62"/>
      <w:r>
        <w:rPr>
          <w:rFonts w:hint="eastAsia" w:ascii="宋体" w:hAnsi="宋体" w:cs="宋体"/>
          <w:color w:val="auto"/>
          <w:sz w:val="24"/>
          <w:szCs w:val="24"/>
        </w:rPr>
        <w:t>对方明确的地址。</w:t>
      </w:r>
    </w:p>
    <w:p w14:paraId="6633A7BC">
      <w:pPr>
        <w:pStyle w:val="3"/>
        <w:widowControl/>
        <w:snapToGrid w:val="0"/>
        <w:spacing w:before="0" w:after="0" w:line="360" w:lineRule="auto"/>
        <w:ind w:firstLine="482" w:firstLineChars="200"/>
        <w:jc w:val="both"/>
        <w:rPr>
          <w:rFonts w:hAnsi="宋体" w:cs="宋体"/>
          <w:color w:val="auto"/>
          <w:szCs w:val="24"/>
        </w:rPr>
      </w:pPr>
      <w:bookmarkStart w:id="63" w:name="_Toc366495215"/>
      <w:r>
        <w:rPr>
          <w:rFonts w:hAnsi="宋体" w:cs="宋体"/>
          <w:color w:val="auto"/>
          <w:szCs w:val="24"/>
          <w:u w:val="none"/>
        </w:rPr>
        <w:t>23. 计量单位</w:t>
      </w:r>
      <w:bookmarkEnd w:id="63"/>
    </w:p>
    <w:p w14:paraId="2A9739C3">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23.1 除技术规范中另有规定外，计量单位均使用国家法定计量单位。</w:t>
      </w:r>
    </w:p>
    <w:p w14:paraId="5030AA5A">
      <w:pPr>
        <w:pStyle w:val="3"/>
        <w:widowControl/>
        <w:snapToGrid w:val="0"/>
        <w:spacing w:before="0" w:after="0" w:line="360" w:lineRule="auto"/>
        <w:ind w:firstLine="482" w:firstLineChars="200"/>
        <w:jc w:val="both"/>
        <w:rPr>
          <w:rFonts w:hAnsi="宋体" w:cs="宋体"/>
          <w:color w:val="auto"/>
          <w:szCs w:val="24"/>
        </w:rPr>
      </w:pPr>
      <w:bookmarkStart w:id="64" w:name="_Toc366495216"/>
      <w:r>
        <w:rPr>
          <w:rFonts w:hAnsi="宋体" w:cs="宋体"/>
          <w:color w:val="auto"/>
          <w:szCs w:val="24"/>
          <w:u w:val="none"/>
        </w:rPr>
        <w:t>24</w:t>
      </w:r>
      <w:bookmarkStart w:id="65" w:name="_Toc330473032"/>
      <w:bookmarkStart w:id="66" w:name="_Toc289327709"/>
      <w:r>
        <w:rPr>
          <w:rFonts w:hAnsi="宋体" w:cs="宋体"/>
          <w:color w:val="auto"/>
          <w:szCs w:val="24"/>
          <w:u w:val="none"/>
        </w:rPr>
        <w:t>. 适用法律</w:t>
      </w:r>
      <w:bookmarkEnd w:id="64"/>
    </w:p>
    <w:bookmarkEnd w:id="65"/>
    <w:bookmarkEnd w:id="66"/>
    <w:p w14:paraId="46D94584">
      <w:pPr>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24.1 本合同应按照中华人民共和国的法律进行解释。</w:t>
      </w:r>
    </w:p>
    <w:p w14:paraId="1BC0CBA4">
      <w:pPr>
        <w:pStyle w:val="3"/>
        <w:widowControl/>
        <w:snapToGrid w:val="0"/>
        <w:spacing w:before="0" w:after="0" w:line="360" w:lineRule="auto"/>
        <w:ind w:firstLine="482" w:firstLineChars="200"/>
        <w:jc w:val="both"/>
        <w:rPr>
          <w:rFonts w:hAnsi="宋体" w:cs="宋体"/>
          <w:color w:val="auto"/>
          <w:szCs w:val="24"/>
        </w:rPr>
      </w:pPr>
      <w:bookmarkStart w:id="67" w:name="_Toc366495218"/>
      <w:r>
        <w:rPr>
          <w:rFonts w:hAnsi="宋体" w:cs="宋体"/>
          <w:color w:val="auto"/>
          <w:szCs w:val="24"/>
        </w:rPr>
        <w:t>25</w:t>
      </w:r>
      <w:r>
        <w:rPr>
          <w:rFonts w:hint="default" w:hAnsi="宋体" w:cs="宋体"/>
          <w:color w:val="auto"/>
          <w:szCs w:val="24"/>
        </w:rPr>
        <w:t>.</w:t>
      </w:r>
      <w:r>
        <w:rPr>
          <w:rFonts w:hAnsi="宋体" w:cs="宋体"/>
          <w:color w:val="auto"/>
          <w:szCs w:val="24"/>
          <w:u w:val="none"/>
        </w:rPr>
        <w:t>合同生效和其它</w:t>
      </w:r>
      <w:bookmarkEnd w:id="67"/>
    </w:p>
    <w:p w14:paraId="693A163E">
      <w:pPr>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本合同一式陆份，具同等法律效力，买方执叁份，卖方执叁份。自甲乙双方签字盖章之日起生效。合同未尽事宜，双方友好协商解决。</w:t>
      </w:r>
    </w:p>
    <w:p w14:paraId="4071DD43">
      <w:pPr>
        <w:pStyle w:val="2"/>
        <w:widowControl/>
        <w:spacing w:before="0" w:line="360" w:lineRule="auto"/>
        <w:ind w:firstLine="482" w:firstLineChars="200"/>
        <w:rPr>
          <w:rFonts w:hint="eastAsia" w:ascii="宋体" w:hAnsi="宋体" w:eastAsia="宋体" w:cs="宋体"/>
          <w:color w:val="auto"/>
          <w:sz w:val="32"/>
          <w:szCs w:val="32"/>
        </w:rPr>
      </w:pPr>
      <w:r>
        <w:rPr>
          <w:rFonts w:hint="eastAsia" w:ascii="宋体" w:hAnsi="宋体" w:eastAsia="宋体" w:cs="宋体"/>
          <w:color w:val="auto"/>
          <w:sz w:val="24"/>
          <w:szCs w:val="24"/>
        </w:rPr>
        <w:br w:type="page"/>
      </w:r>
      <w:r>
        <w:rPr>
          <w:rFonts w:hint="eastAsia" w:ascii="宋体" w:hAnsi="宋体" w:eastAsia="宋体" w:cs="宋体"/>
          <w:color w:val="auto"/>
          <w:sz w:val="32"/>
          <w:szCs w:val="32"/>
        </w:rPr>
        <w:t>合同特殊条款</w:t>
      </w:r>
    </w:p>
    <w:p w14:paraId="4D0B5C7A">
      <w:pPr>
        <w:pStyle w:val="2"/>
        <w:widowControl/>
        <w:spacing w:before="0" w:line="360" w:lineRule="auto"/>
        <w:ind w:firstLine="482" w:firstLineChars="200"/>
        <w:rPr>
          <w:rFonts w:hint="eastAsia" w:ascii="宋体" w:hAnsi="宋体" w:eastAsia="宋体" w:cs="宋体"/>
          <w:color w:val="auto"/>
          <w:sz w:val="24"/>
          <w:szCs w:val="24"/>
        </w:rPr>
      </w:pPr>
    </w:p>
    <w:p w14:paraId="17B09E6C">
      <w:pPr>
        <w:pStyle w:val="10"/>
        <w:widowControl/>
        <w:spacing w:line="360" w:lineRule="auto"/>
        <w:ind w:firstLine="480" w:firstLineChars="200"/>
        <w:rPr>
          <w:rFonts w:hint="eastAsia" w:ascii="宋体" w:hAnsi="宋体" w:cs="宋体"/>
          <w:color w:val="auto"/>
          <w:szCs w:val="24"/>
        </w:rPr>
      </w:pPr>
      <w:r>
        <w:rPr>
          <w:rFonts w:hint="eastAsia" w:ascii="宋体" w:hAnsi="宋体" w:cs="宋体"/>
          <w:color w:val="auto"/>
          <w:szCs w:val="24"/>
        </w:rPr>
        <w:t>合同特殊条款是合同一般条款的补充和修改。如果两者之间有抵触，应以特殊条款为准。合同特殊条款的序号将与合同一般条款序号相对应。</w:t>
      </w:r>
    </w:p>
    <w:p w14:paraId="58E7B9FC">
      <w:pPr>
        <w:pStyle w:val="10"/>
        <w:widowControl/>
        <w:spacing w:line="360" w:lineRule="auto"/>
        <w:ind w:firstLine="480" w:firstLineChars="200"/>
        <w:rPr>
          <w:rFonts w:hint="eastAsia" w:ascii="宋体" w:hAnsi="宋体" w:cs="宋体"/>
          <w:color w:val="auto"/>
          <w:szCs w:val="24"/>
        </w:rPr>
      </w:pPr>
      <w:r>
        <w:rPr>
          <w:rFonts w:hint="eastAsia" w:ascii="宋体" w:hAnsi="宋体" w:cs="宋体"/>
          <w:color w:val="auto"/>
          <w:szCs w:val="24"/>
        </w:rPr>
        <w:t>1.定义</w:t>
      </w:r>
    </w:p>
    <w:p w14:paraId="7F118052">
      <w:pPr>
        <w:pStyle w:val="10"/>
        <w:widowControl/>
        <w:spacing w:line="360" w:lineRule="auto"/>
        <w:ind w:firstLine="480" w:firstLineChars="200"/>
        <w:rPr>
          <w:rFonts w:hint="eastAsia" w:ascii="宋体" w:hAnsi="宋体" w:cs="宋体"/>
          <w:color w:val="auto"/>
          <w:szCs w:val="24"/>
        </w:rPr>
      </w:pPr>
      <w:r>
        <w:rPr>
          <w:rFonts w:hint="eastAsia" w:ascii="宋体" w:hAnsi="宋体" w:cs="宋体"/>
          <w:color w:val="auto"/>
          <w:szCs w:val="24"/>
        </w:rPr>
        <w:t>1.4 买方：本合同买方系指：</w:t>
      </w:r>
      <w:r>
        <w:rPr>
          <w:rFonts w:hint="eastAsia" w:ascii="宋体" w:hAnsi="宋体" w:cs="宋体"/>
          <w:color w:val="auto"/>
          <w:szCs w:val="24"/>
          <w:u w:val="single"/>
        </w:rPr>
        <w:t>  国家文物局考古研究中心（甲方） </w:t>
      </w:r>
      <w:r>
        <w:rPr>
          <w:rFonts w:hint="eastAsia" w:ascii="宋体" w:hAnsi="宋体" w:cs="宋体"/>
          <w:color w:val="auto"/>
          <w:szCs w:val="24"/>
        </w:rPr>
        <w:t>。</w:t>
      </w:r>
    </w:p>
    <w:p w14:paraId="1BA11CDA">
      <w:pPr>
        <w:pStyle w:val="10"/>
        <w:widowControl/>
        <w:spacing w:line="360" w:lineRule="auto"/>
        <w:ind w:firstLine="480" w:firstLineChars="200"/>
        <w:rPr>
          <w:rFonts w:hint="eastAsia" w:ascii="宋体" w:hAnsi="宋体" w:cs="宋体"/>
          <w:color w:val="auto"/>
          <w:szCs w:val="24"/>
        </w:rPr>
      </w:pPr>
      <w:r>
        <w:rPr>
          <w:rFonts w:hint="eastAsia" w:ascii="宋体" w:hAnsi="宋体" w:cs="宋体"/>
          <w:color w:val="auto"/>
          <w:szCs w:val="24"/>
        </w:rPr>
        <w:t>1.5 卖方：本合同卖方系指：</w:t>
      </w:r>
      <w:r>
        <w:rPr>
          <w:rFonts w:hint="eastAsia" w:ascii="宋体" w:hAnsi="宋体" w:cs="宋体"/>
          <w:color w:val="auto"/>
          <w:szCs w:val="24"/>
          <w:u w:val="single"/>
        </w:rPr>
        <w:t>        </w:t>
      </w:r>
      <w:r>
        <w:rPr>
          <w:rFonts w:hint="eastAsia" w:ascii="宋体" w:hAnsi="宋体" w:cs="宋体"/>
          <w:color w:val="auto"/>
          <w:szCs w:val="24"/>
        </w:rPr>
        <w:t>。</w:t>
      </w:r>
    </w:p>
    <w:p w14:paraId="337AFE45">
      <w:pPr>
        <w:pStyle w:val="10"/>
        <w:widowControl/>
        <w:spacing w:line="360" w:lineRule="auto"/>
        <w:ind w:firstLine="480" w:firstLineChars="200"/>
        <w:rPr>
          <w:rFonts w:hint="eastAsia" w:ascii="宋体" w:hAnsi="宋体" w:cs="宋体"/>
          <w:color w:val="auto"/>
          <w:szCs w:val="24"/>
        </w:rPr>
      </w:pPr>
      <w:r>
        <w:rPr>
          <w:rFonts w:hint="eastAsia" w:ascii="宋体" w:hAnsi="宋体" w:cs="宋体"/>
          <w:color w:val="auto"/>
          <w:szCs w:val="24"/>
        </w:rPr>
        <w:t>1.6 现场：本合同项下的货物安装和运行地点为</w:t>
      </w:r>
      <w:r>
        <w:rPr>
          <w:rFonts w:hint="eastAsia" w:ascii="宋体" w:hAnsi="宋体" w:cs="宋体"/>
          <w:color w:val="auto"/>
          <w:szCs w:val="24"/>
          <w:u w:val="single"/>
        </w:rPr>
        <w:t>   </w:t>
      </w:r>
      <w:r>
        <w:rPr>
          <w:rFonts w:hint="eastAsia" w:ascii="宋体" w:hAnsi="宋体" w:cs="宋体"/>
          <w:color w:val="auto"/>
          <w:szCs w:val="24"/>
          <w:u w:val="single"/>
          <w:lang w:val="en-US" w:eastAsia="zh-CN"/>
        </w:rPr>
        <w:t>山东省</w:t>
      </w:r>
      <w:r>
        <w:rPr>
          <w:rFonts w:hint="eastAsia" w:ascii="宋体" w:hAnsi="宋体" w:cs="宋体"/>
          <w:color w:val="auto"/>
          <w:szCs w:val="24"/>
          <w:u w:val="single"/>
        </w:rPr>
        <w:t>青岛</w:t>
      </w:r>
      <w:r>
        <w:rPr>
          <w:rFonts w:hint="eastAsia" w:ascii="宋体" w:hAnsi="宋体" w:cs="宋体"/>
          <w:color w:val="auto"/>
          <w:szCs w:val="24"/>
          <w:u w:val="single"/>
          <w:lang w:val="en-US" w:eastAsia="zh-CN"/>
        </w:rPr>
        <w:t>市即墨区</w:t>
      </w:r>
      <w:r>
        <w:rPr>
          <w:rFonts w:hint="eastAsia" w:ascii="宋体" w:hAnsi="宋体" w:cs="宋体"/>
          <w:color w:val="auto"/>
          <w:szCs w:val="24"/>
          <w:u w:val="single"/>
        </w:rPr>
        <w:t>     </w:t>
      </w:r>
      <w:r>
        <w:rPr>
          <w:rFonts w:hint="eastAsia" w:ascii="宋体" w:hAnsi="宋体" w:cs="宋体"/>
          <w:color w:val="auto"/>
          <w:szCs w:val="24"/>
        </w:rPr>
        <w:t xml:space="preserve"> 。</w:t>
      </w:r>
    </w:p>
    <w:p w14:paraId="61956F8E">
      <w:pPr>
        <w:pStyle w:val="10"/>
        <w:widowControl/>
        <w:spacing w:line="360" w:lineRule="auto"/>
        <w:ind w:firstLine="480" w:firstLineChars="200"/>
        <w:rPr>
          <w:rFonts w:hint="eastAsia" w:ascii="宋体" w:hAnsi="宋体" w:cs="宋体"/>
          <w:color w:val="auto"/>
          <w:szCs w:val="24"/>
        </w:rPr>
      </w:pPr>
      <w:r>
        <w:rPr>
          <w:rFonts w:hint="eastAsia" w:ascii="宋体" w:hAnsi="宋体" w:cs="宋体"/>
          <w:color w:val="auto"/>
          <w:szCs w:val="24"/>
        </w:rPr>
        <w:t>6.交货方式</w:t>
      </w:r>
    </w:p>
    <w:p w14:paraId="4A618B9A">
      <w:pPr>
        <w:pStyle w:val="10"/>
        <w:widowControl/>
        <w:spacing w:line="360" w:lineRule="auto"/>
        <w:ind w:firstLine="480" w:firstLineChars="200"/>
        <w:rPr>
          <w:rFonts w:hint="eastAsia" w:ascii="宋体" w:hAnsi="宋体" w:cs="宋体"/>
          <w:color w:val="auto"/>
          <w:szCs w:val="24"/>
        </w:rPr>
      </w:pPr>
      <w:r>
        <w:rPr>
          <w:rFonts w:hint="eastAsia" w:ascii="宋体" w:hAnsi="宋体" w:cs="宋体"/>
          <w:color w:val="auto"/>
          <w:szCs w:val="24"/>
        </w:rPr>
        <w:t>6.1 本合同项下的货物交货方式为：</w:t>
      </w:r>
      <w:r>
        <w:rPr>
          <w:rFonts w:hint="eastAsia" w:ascii="宋体" w:hAnsi="宋体" w:cs="宋体"/>
          <w:color w:val="auto"/>
          <w:szCs w:val="24"/>
          <w:u w:val="single"/>
        </w:rPr>
        <w:t>    现场交货    </w:t>
      </w:r>
      <w:r>
        <w:rPr>
          <w:rFonts w:hint="eastAsia" w:ascii="宋体" w:hAnsi="宋体" w:cs="宋体"/>
          <w:color w:val="auto"/>
          <w:szCs w:val="24"/>
        </w:rPr>
        <w:t>。</w:t>
      </w:r>
    </w:p>
    <w:p w14:paraId="46FB8ADD">
      <w:pPr>
        <w:snapToGrid w:val="0"/>
        <w:spacing w:line="360" w:lineRule="auto"/>
        <w:rPr>
          <w:rFonts w:hint="eastAsia" w:ascii="宋体" w:hAnsi="宋体" w:cs="宋体"/>
          <w:color w:val="auto"/>
          <w:sz w:val="24"/>
          <w:szCs w:val="32"/>
          <w:u w:val="single"/>
        </w:rPr>
      </w:pPr>
      <w:r>
        <w:rPr>
          <w:rFonts w:hint="eastAsia" w:ascii="宋体" w:hAnsi="宋体" w:cs="宋体"/>
          <w:color w:val="auto"/>
          <w:szCs w:val="24"/>
        </w:rPr>
        <w:t>9.付款条件：</w:t>
      </w:r>
      <w:r>
        <w:rPr>
          <w:rFonts w:hint="eastAsia" w:ascii="宋体" w:hAnsi="宋体" w:cs="宋体"/>
          <w:color w:val="auto"/>
          <w:sz w:val="24"/>
          <w:szCs w:val="32"/>
          <w:u w:val="single"/>
        </w:rPr>
        <w:t>本合同签订后</w:t>
      </w:r>
      <w:r>
        <w:rPr>
          <w:rFonts w:hint="eastAsia" w:ascii="宋体" w:hAnsi="宋体" w:cs="宋体"/>
          <w:color w:val="auto"/>
          <w:sz w:val="24"/>
          <w:szCs w:val="32"/>
          <w:u w:val="single"/>
          <w:lang w:val="en-US" w:eastAsia="zh-CN"/>
        </w:rPr>
        <w:t>10</w:t>
      </w:r>
      <w:r>
        <w:rPr>
          <w:rFonts w:hint="eastAsia" w:ascii="宋体" w:hAnsi="宋体" w:cs="宋体"/>
          <w:color w:val="auto"/>
          <w:sz w:val="24"/>
          <w:szCs w:val="32"/>
          <w:u w:val="single"/>
        </w:rPr>
        <w:t>个工作日内，乙方须向甲方交纳本项目总金额10%的履约保证金，即人民币  元（大写：人民</w:t>
      </w:r>
      <w:r>
        <w:rPr>
          <w:rFonts w:hint="eastAsia" w:ascii="宋体" w:hAnsi="宋体" w:cs="宋体"/>
          <w:color w:val="auto"/>
          <w:sz w:val="24"/>
          <w:szCs w:val="32"/>
          <w:u w:val="single"/>
          <w:lang w:val="en-US" w:eastAsia="zh-CN"/>
        </w:rPr>
        <w:t xml:space="preserve"> </w:t>
      </w:r>
      <w:r>
        <w:rPr>
          <w:rFonts w:hint="eastAsia" w:ascii="宋体" w:hAnsi="宋体" w:cs="宋体"/>
          <w:color w:val="auto"/>
          <w:sz w:val="24"/>
          <w:szCs w:val="32"/>
          <w:u w:val="single"/>
        </w:rPr>
        <w:t>元整</w:t>
      </w:r>
      <w:r>
        <w:rPr>
          <w:rFonts w:hint="eastAsia" w:ascii="宋体" w:hAnsi="宋体" w:cs="宋体"/>
          <w:color w:val="auto"/>
          <w:sz w:val="24"/>
          <w:szCs w:val="32"/>
          <w:u w:val="single"/>
          <w:lang w:val="en-US" w:eastAsia="zh-CN"/>
        </w:rPr>
        <w:t xml:space="preserve"> </w:t>
      </w:r>
      <w:r>
        <w:rPr>
          <w:rFonts w:hint="eastAsia" w:ascii="宋体" w:hAnsi="宋体" w:cs="宋体"/>
          <w:color w:val="auto"/>
          <w:sz w:val="24"/>
          <w:szCs w:val="32"/>
          <w:u w:val="single"/>
        </w:rPr>
        <w:t xml:space="preserve"> ）。同时，乙方须提供本年度符合国家规定的正式发票；甲方应在收到乙方提交的履约保证金及正式发票后</w:t>
      </w:r>
      <w:r>
        <w:rPr>
          <w:rFonts w:hint="eastAsia" w:ascii="宋体" w:hAnsi="宋体" w:cs="宋体"/>
          <w:color w:val="auto"/>
          <w:sz w:val="24"/>
          <w:szCs w:val="32"/>
          <w:u w:val="single"/>
          <w:lang w:val="en-US" w:eastAsia="zh-CN"/>
        </w:rPr>
        <w:t>15</w:t>
      </w:r>
      <w:r>
        <w:rPr>
          <w:rFonts w:hint="eastAsia" w:ascii="宋体" w:hAnsi="宋体" w:cs="宋体"/>
          <w:color w:val="auto"/>
          <w:sz w:val="24"/>
          <w:szCs w:val="32"/>
          <w:u w:val="single"/>
        </w:rPr>
        <w:t>个工作日内向乙方支付本项目</w:t>
      </w:r>
      <w:r>
        <w:rPr>
          <w:rFonts w:hint="eastAsia" w:ascii="宋体" w:hAnsi="宋体" w:cs="宋体"/>
          <w:color w:val="auto"/>
          <w:sz w:val="24"/>
          <w:szCs w:val="32"/>
          <w:u w:val="single"/>
          <w:lang w:val="en-US" w:eastAsia="zh-CN"/>
        </w:rPr>
        <w:t>首付款，计人民币210000元</w:t>
      </w:r>
      <w:r>
        <w:rPr>
          <w:rFonts w:hint="eastAsia" w:ascii="宋体" w:hAnsi="宋体" w:cs="宋体"/>
          <w:color w:val="auto"/>
          <w:sz w:val="24"/>
          <w:szCs w:val="32"/>
          <w:u w:val="single"/>
        </w:rPr>
        <w:t>（大写：人民币贰拾壹万元整</w:t>
      </w:r>
      <w:r>
        <w:rPr>
          <w:rFonts w:hint="eastAsia" w:ascii="宋体" w:hAnsi="宋体" w:cs="宋体"/>
          <w:color w:val="auto"/>
          <w:sz w:val="24"/>
          <w:szCs w:val="32"/>
          <w:u w:val="single"/>
          <w:lang w:val="en-US" w:eastAsia="zh-CN"/>
        </w:rPr>
        <w:t xml:space="preserve"> </w:t>
      </w:r>
      <w:r>
        <w:rPr>
          <w:rFonts w:hint="eastAsia" w:ascii="宋体" w:hAnsi="宋体" w:cs="宋体"/>
          <w:color w:val="auto"/>
          <w:sz w:val="24"/>
          <w:szCs w:val="32"/>
          <w:u w:val="single"/>
        </w:rPr>
        <w:t>）。</w:t>
      </w:r>
    </w:p>
    <w:p w14:paraId="47160C76">
      <w:pPr>
        <w:snapToGrid w:val="0"/>
        <w:spacing w:line="360" w:lineRule="auto"/>
        <w:rPr>
          <w:rFonts w:hint="eastAsia" w:ascii="宋体" w:hAnsi="宋体" w:cs="宋体"/>
          <w:color w:val="auto"/>
          <w:szCs w:val="24"/>
        </w:rPr>
      </w:pPr>
      <w:r>
        <w:rPr>
          <w:rFonts w:hint="eastAsia" w:ascii="宋体" w:hAnsi="宋体" w:cs="宋体"/>
          <w:color w:val="auto"/>
          <w:sz w:val="24"/>
          <w:szCs w:val="32"/>
          <w:u w:val="single"/>
        </w:rPr>
        <w:t>货物</w:t>
      </w:r>
      <w:r>
        <w:rPr>
          <w:rFonts w:hint="eastAsia" w:ascii="宋体" w:hAnsi="宋体" w:cs="宋体"/>
          <w:color w:val="auto"/>
          <w:sz w:val="24"/>
          <w:szCs w:val="32"/>
          <w:u w:val="single"/>
          <w:lang w:val="en-US" w:eastAsia="zh-CN"/>
        </w:rPr>
        <w:t>制作完成后，</w:t>
      </w:r>
      <w:r>
        <w:rPr>
          <w:rFonts w:hint="eastAsia" w:ascii="宋体" w:hAnsi="宋体" w:cs="宋体"/>
          <w:color w:val="auto"/>
          <w:sz w:val="24"/>
          <w:szCs w:val="32"/>
          <w:u w:val="single"/>
        </w:rPr>
        <w:t>到达甲方指定地点现场，安装、调试合格并通过甲方验收</w:t>
      </w:r>
      <w:r>
        <w:rPr>
          <w:rFonts w:hint="eastAsia" w:ascii="宋体" w:hAnsi="宋体" w:cs="宋体"/>
          <w:color w:val="auto"/>
          <w:sz w:val="24"/>
          <w:szCs w:val="32"/>
          <w:u w:val="single"/>
          <w:lang w:eastAsia="zh-CN"/>
        </w:rPr>
        <w:t>，</w:t>
      </w:r>
      <w:r>
        <w:rPr>
          <w:rFonts w:hint="eastAsia" w:ascii="宋体" w:hAnsi="宋体" w:cs="宋体"/>
          <w:color w:val="auto"/>
          <w:sz w:val="24"/>
          <w:szCs w:val="32"/>
          <w:u w:val="single"/>
          <w:lang w:val="en-US" w:eastAsia="zh-CN"/>
        </w:rPr>
        <w:t>通过</w:t>
      </w:r>
      <w:r>
        <w:rPr>
          <w:rFonts w:hint="eastAsia" w:ascii="宋体" w:hAnsi="宋体" w:cs="宋体"/>
          <w:color w:val="auto"/>
          <w:sz w:val="24"/>
          <w:szCs w:val="32"/>
          <w:u w:val="single"/>
        </w:rPr>
        <w:t>甲方验收后</w:t>
      </w:r>
      <w:r>
        <w:rPr>
          <w:rFonts w:hint="eastAsia" w:ascii="宋体" w:hAnsi="宋体" w:cs="宋体"/>
          <w:color w:val="auto"/>
          <w:sz w:val="24"/>
          <w:szCs w:val="32"/>
          <w:u w:val="single"/>
          <w:lang w:val="en-US" w:eastAsia="zh-CN"/>
        </w:rPr>
        <w:t>15</w:t>
      </w:r>
      <w:r>
        <w:rPr>
          <w:rFonts w:hint="eastAsia" w:ascii="宋体" w:hAnsi="宋体" w:cs="宋体"/>
          <w:color w:val="auto"/>
          <w:sz w:val="24"/>
          <w:szCs w:val="32"/>
          <w:u w:val="single"/>
        </w:rPr>
        <w:t>个工作日内，甲方向乙方支付</w:t>
      </w:r>
      <w:r>
        <w:rPr>
          <w:rFonts w:hint="eastAsia" w:ascii="宋体" w:hAnsi="宋体" w:cs="宋体"/>
          <w:color w:val="auto"/>
          <w:sz w:val="24"/>
          <w:szCs w:val="32"/>
          <w:u w:val="single"/>
          <w:lang w:val="en-US" w:eastAsia="zh-CN"/>
        </w:rPr>
        <w:t>剩余</w:t>
      </w:r>
      <w:r>
        <w:rPr>
          <w:rFonts w:hint="eastAsia" w:ascii="宋体" w:hAnsi="宋体" w:cs="宋体"/>
          <w:color w:val="auto"/>
          <w:sz w:val="24"/>
          <w:szCs w:val="32"/>
          <w:u w:val="single"/>
        </w:rPr>
        <w:t>合同</w:t>
      </w:r>
      <w:r>
        <w:rPr>
          <w:rFonts w:hint="eastAsia" w:ascii="宋体" w:hAnsi="宋体" w:cs="宋体"/>
          <w:color w:val="auto"/>
          <w:sz w:val="24"/>
          <w:szCs w:val="32"/>
          <w:u w:val="single"/>
          <w:lang w:val="en-US" w:eastAsia="zh-CN"/>
        </w:rPr>
        <w:t>尾款</w:t>
      </w:r>
      <w:r>
        <w:rPr>
          <w:rFonts w:hint="eastAsia" w:ascii="宋体" w:hAnsi="宋体" w:cs="宋体"/>
          <w:color w:val="auto"/>
          <w:sz w:val="24"/>
          <w:szCs w:val="32"/>
          <w:u w:val="single"/>
        </w:rPr>
        <w:t>，计</w:t>
      </w:r>
      <w:r>
        <w:rPr>
          <w:rFonts w:hint="eastAsia" w:ascii="宋体" w:hAnsi="宋体" w:cs="宋体"/>
          <w:color w:val="auto"/>
          <w:sz w:val="24"/>
          <w:szCs w:val="32"/>
          <w:u w:val="single"/>
          <w:lang w:val="en-US" w:eastAsia="zh-CN"/>
        </w:rPr>
        <w:t>人民币</w:t>
      </w:r>
      <w:r>
        <w:rPr>
          <w:rFonts w:hint="eastAsia" w:ascii="宋体" w:hAnsi="宋体" w:cs="宋体"/>
          <w:color w:val="auto"/>
          <w:sz w:val="24"/>
          <w:szCs w:val="32"/>
          <w:u w:val="single"/>
        </w:rPr>
        <w:t xml:space="preserve"> </w:t>
      </w:r>
      <w:r>
        <w:rPr>
          <w:rFonts w:hint="eastAsia" w:ascii="宋体" w:hAnsi="宋体" w:cs="宋体"/>
          <w:color w:val="auto"/>
          <w:sz w:val="24"/>
          <w:szCs w:val="32"/>
          <w:u w:val="single"/>
          <w:lang w:val="en-US" w:eastAsia="zh-CN"/>
        </w:rPr>
        <w:t>元</w:t>
      </w:r>
      <w:r>
        <w:rPr>
          <w:rFonts w:hint="eastAsia" w:ascii="宋体" w:hAnsi="宋体" w:cs="宋体"/>
          <w:color w:val="auto"/>
          <w:sz w:val="24"/>
          <w:szCs w:val="32"/>
          <w:u w:val="single"/>
        </w:rPr>
        <w:t>（大写：人民币</w:t>
      </w:r>
      <w:r>
        <w:rPr>
          <w:rFonts w:hint="eastAsia" w:ascii="宋体" w:hAnsi="宋体" w:cs="宋体"/>
          <w:color w:val="auto"/>
          <w:sz w:val="24"/>
          <w:szCs w:val="32"/>
          <w:u w:val="single"/>
          <w:lang w:val="en-US" w:eastAsia="zh-CN"/>
        </w:rPr>
        <w:t xml:space="preserve"> </w:t>
      </w:r>
      <w:r>
        <w:rPr>
          <w:rFonts w:hint="eastAsia" w:ascii="宋体" w:hAnsi="宋体" w:cs="宋体"/>
          <w:color w:val="auto"/>
          <w:sz w:val="24"/>
          <w:szCs w:val="32"/>
          <w:u w:val="single"/>
        </w:rPr>
        <w:t>）</w:t>
      </w:r>
      <w:r>
        <w:rPr>
          <w:rFonts w:hint="eastAsia" w:ascii="宋体" w:hAnsi="宋体" w:cs="宋体"/>
          <w:color w:val="auto"/>
          <w:sz w:val="24"/>
          <w:szCs w:val="32"/>
          <w:u w:val="single"/>
          <w:lang w:eastAsia="zh-CN"/>
        </w:rPr>
        <w:t>。乙方向甲方支付合同总价10%的履约保证金，</w:t>
      </w:r>
      <w:r>
        <w:rPr>
          <w:rFonts w:hint="eastAsia" w:ascii="宋体" w:hAnsi="宋体" w:cs="宋体"/>
          <w:color w:val="auto"/>
          <w:sz w:val="24"/>
          <w:szCs w:val="32"/>
          <w:u w:val="single"/>
          <w:lang w:val="en-US" w:eastAsia="zh-CN"/>
        </w:rPr>
        <w:t>质保期内，乙方为甲方展览无偿提供本合同船模安装调试服务。</w:t>
      </w:r>
      <w:r>
        <w:rPr>
          <w:rFonts w:hint="eastAsia" w:ascii="宋体" w:hAnsi="宋体" w:cs="宋体"/>
          <w:color w:val="auto"/>
          <w:sz w:val="24"/>
          <w:szCs w:val="32"/>
          <w:u w:val="single"/>
          <w:lang w:eastAsia="zh-CN"/>
        </w:rPr>
        <w:t>待质保期满</w:t>
      </w:r>
      <w:r>
        <w:rPr>
          <w:rFonts w:hint="eastAsia" w:ascii="宋体" w:hAnsi="宋体" w:cs="宋体"/>
          <w:color w:val="auto"/>
          <w:sz w:val="24"/>
          <w:szCs w:val="32"/>
          <w:u w:val="single"/>
          <w:lang w:val="en-US" w:eastAsia="zh-CN"/>
        </w:rPr>
        <w:t>2</w:t>
      </w:r>
      <w:r>
        <w:rPr>
          <w:rFonts w:hint="eastAsia" w:ascii="宋体" w:hAnsi="宋体" w:cs="宋体"/>
          <w:color w:val="auto"/>
          <w:sz w:val="24"/>
          <w:szCs w:val="32"/>
          <w:u w:val="single"/>
          <w:lang w:eastAsia="zh-CN"/>
        </w:rPr>
        <w:t>年后甲方向乙方无息退还履约保证金。</w:t>
      </w:r>
    </w:p>
    <w:p w14:paraId="394F065C">
      <w:pPr>
        <w:pStyle w:val="10"/>
        <w:widowControl/>
        <w:spacing w:line="360" w:lineRule="auto"/>
        <w:ind w:firstLine="480" w:firstLineChars="200"/>
        <w:rPr>
          <w:rFonts w:hint="eastAsia" w:ascii="宋体" w:hAnsi="宋体" w:cs="宋体"/>
          <w:color w:val="auto"/>
          <w:szCs w:val="24"/>
        </w:rPr>
      </w:pPr>
      <w:r>
        <w:rPr>
          <w:rFonts w:hint="eastAsia" w:ascii="宋体" w:hAnsi="宋体" w:cs="宋体"/>
          <w:color w:val="auto"/>
          <w:szCs w:val="24"/>
        </w:rPr>
        <w:t>10.技术资料：</w:t>
      </w:r>
      <w:r>
        <w:rPr>
          <w:rFonts w:hint="eastAsia" w:ascii="宋体" w:hAnsi="宋体" w:cs="宋体"/>
          <w:color w:val="auto"/>
          <w:szCs w:val="24"/>
          <w:u w:val="single"/>
        </w:rPr>
        <w:t> 供应商最终交付时应提供原型船背景资料、图纸资料（含原</w:t>
      </w:r>
      <w:r>
        <w:rPr>
          <w:rFonts w:hint="eastAsia" w:ascii="宋体" w:hAnsi="宋体" w:cs="宋体"/>
          <w:color w:val="auto"/>
          <w:szCs w:val="24"/>
          <w:u w:val="single"/>
          <w:lang w:val="en-US" w:eastAsia="zh-CN"/>
        </w:rPr>
        <w:t>型</w:t>
      </w:r>
      <w:r>
        <w:rPr>
          <w:rFonts w:hint="eastAsia" w:ascii="宋体" w:hAnsi="宋体" w:cs="宋体"/>
          <w:color w:val="auto"/>
          <w:szCs w:val="24"/>
          <w:u w:val="single"/>
        </w:rPr>
        <w:t>船测绘图纸和船型线图等</w:t>
      </w:r>
      <w:r>
        <w:rPr>
          <w:rFonts w:hint="eastAsia" w:ascii="宋体" w:hAnsi="宋体" w:cs="宋体"/>
          <w:color w:val="auto"/>
          <w:szCs w:val="24"/>
          <w:u w:val="single"/>
          <w:lang w:val="en-US" w:eastAsia="zh-CN"/>
        </w:rPr>
        <w:t>复原</w:t>
      </w:r>
      <w:r>
        <w:rPr>
          <w:rFonts w:hint="eastAsia" w:ascii="宋体" w:hAnsi="宋体" w:cs="宋体"/>
          <w:color w:val="auto"/>
          <w:szCs w:val="24"/>
          <w:u w:val="single"/>
        </w:rPr>
        <w:t>设计图纸）、关键制作过程的影像资料，以及船模主材、帆装、涂装、彩绘、属具等内容说明。</w:t>
      </w:r>
      <w:r>
        <w:rPr>
          <w:rFonts w:hint="eastAsia" w:ascii="宋体" w:hAnsi="宋体" w:cs="宋体"/>
          <w:color w:val="auto"/>
          <w:szCs w:val="24"/>
        </w:rPr>
        <w:t xml:space="preserve"> </w:t>
      </w:r>
    </w:p>
    <w:p w14:paraId="0DDAA6DF">
      <w:pPr>
        <w:pStyle w:val="10"/>
        <w:widowControl/>
        <w:spacing w:line="360" w:lineRule="auto"/>
        <w:ind w:firstLine="480" w:firstLineChars="200"/>
        <w:rPr>
          <w:rFonts w:hint="eastAsia" w:ascii="宋体" w:hAnsi="宋体" w:cs="宋体"/>
          <w:color w:val="auto"/>
          <w:szCs w:val="24"/>
        </w:rPr>
      </w:pPr>
      <w:r>
        <w:rPr>
          <w:rFonts w:hint="eastAsia" w:ascii="宋体" w:hAnsi="宋体" w:cs="宋体"/>
          <w:color w:val="auto"/>
          <w:szCs w:val="24"/>
        </w:rPr>
        <w:t>11.质量保证</w:t>
      </w:r>
    </w:p>
    <w:p w14:paraId="2B7A88DF">
      <w:pPr>
        <w:pStyle w:val="10"/>
        <w:widowControl/>
        <w:spacing w:line="360" w:lineRule="auto"/>
        <w:ind w:firstLine="480" w:firstLineChars="200"/>
        <w:rPr>
          <w:rFonts w:hint="eastAsia" w:ascii="宋体" w:hAnsi="宋体" w:cs="宋体"/>
          <w:color w:val="auto"/>
          <w:szCs w:val="24"/>
        </w:rPr>
      </w:pPr>
      <w:r>
        <w:rPr>
          <w:rFonts w:hint="eastAsia" w:ascii="宋体" w:hAnsi="宋体" w:cs="宋体"/>
          <w:color w:val="auto"/>
          <w:szCs w:val="24"/>
        </w:rPr>
        <w:t>11.3 卖方在收到通知后</w:t>
      </w:r>
      <w:r>
        <w:rPr>
          <w:rFonts w:hint="eastAsia" w:ascii="宋体" w:hAnsi="宋体" w:cs="宋体"/>
          <w:color w:val="auto"/>
          <w:szCs w:val="24"/>
          <w:u w:val="single"/>
        </w:rPr>
        <w:t>2</w:t>
      </w:r>
      <w:r>
        <w:rPr>
          <w:rFonts w:hint="eastAsia" w:ascii="宋体" w:hAnsi="宋体" w:cs="宋体"/>
          <w:color w:val="auto"/>
          <w:szCs w:val="24"/>
        </w:rPr>
        <w:t>天内应免费维修或更换有缺陷的货物或部件。</w:t>
      </w:r>
    </w:p>
    <w:p w14:paraId="53C1BA5D">
      <w:pPr>
        <w:pStyle w:val="10"/>
        <w:widowControl/>
        <w:spacing w:line="360" w:lineRule="auto"/>
        <w:ind w:firstLine="480" w:firstLineChars="200"/>
        <w:rPr>
          <w:rFonts w:hint="eastAsia" w:ascii="宋体" w:hAnsi="宋体" w:cs="宋体"/>
          <w:color w:val="auto"/>
          <w:szCs w:val="24"/>
        </w:rPr>
      </w:pPr>
      <w:r>
        <w:rPr>
          <w:rFonts w:hint="eastAsia" w:ascii="宋体" w:hAnsi="宋体" w:cs="宋体"/>
          <w:color w:val="auto"/>
          <w:szCs w:val="24"/>
        </w:rPr>
        <w:t>11.4 如果卖方在收到通知后</w:t>
      </w:r>
      <w:r>
        <w:rPr>
          <w:rFonts w:hint="eastAsia" w:ascii="宋体" w:hAnsi="宋体" w:cs="宋体"/>
          <w:color w:val="auto"/>
          <w:szCs w:val="24"/>
          <w:u w:val="single"/>
        </w:rPr>
        <w:t>2</w:t>
      </w:r>
      <w:r>
        <w:rPr>
          <w:rFonts w:hint="eastAsia" w:ascii="宋体" w:hAnsi="宋体" w:cs="宋体"/>
          <w:color w:val="auto"/>
          <w:szCs w:val="24"/>
        </w:rPr>
        <w:t>天内没有弥补缺陷，买方可采取必要的补救措施，但风险和费用将由卖方承担。</w:t>
      </w:r>
    </w:p>
    <w:p w14:paraId="01E224FB">
      <w:pPr>
        <w:pStyle w:val="10"/>
        <w:widowControl/>
        <w:spacing w:line="360" w:lineRule="auto"/>
        <w:ind w:firstLine="480" w:firstLineChars="200"/>
        <w:rPr>
          <w:rFonts w:hint="eastAsia" w:ascii="宋体" w:hAnsi="宋体" w:cs="宋体"/>
          <w:color w:val="auto"/>
          <w:szCs w:val="24"/>
        </w:rPr>
      </w:pPr>
      <w:r>
        <w:rPr>
          <w:rFonts w:hint="eastAsia" w:ascii="宋体" w:hAnsi="宋体" w:cs="宋体"/>
          <w:color w:val="auto"/>
          <w:szCs w:val="24"/>
        </w:rPr>
        <w:t>11.5 合同项下货物的质量保证期为自货物通过最终验收起</w:t>
      </w:r>
      <w:r>
        <w:rPr>
          <w:rFonts w:hint="eastAsia" w:ascii="宋体" w:hAnsi="宋体" w:cs="宋体"/>
          <w:color w:val="auto"/>
          <w:szCs w:val="24"/>
          <w:lang w:val="en-US" w:eastAsia="zh-CN"/>
        </w:rPr>
        <w:t>24</w:t>
      </w:r>
      <w:r>
        <w:rPr>
          <w:rFonts w:hint="eastAsia" w:ascii="宋体" w:hAnsi="宋体" w:cs="宋体"/>
          <w:color w:val="auto"/>
          <w:szCs w:val="24"/>
        </w:rPr>
        <w:t>个月。</w:t>
      </w:r>
    </w:p>
    <w:p w14:paraId="41551109">
      <w:pPr>
        <w:pStyle w:val="10"/>
        <w:widowControl/>
        <w:spacing w:line="360" w:lineRule="auto"/>
        <w:ind w:firstLine="480" w:firstLineChars="200"/>
        <w:rPr>
          <w:rFonts w:hint="eastAsia" w:ascii="宋体" w:hAnsi="宋体" w:cs="宋体"/>
          <w:color w:val="auto"/>
          <w:szCs w:val="24"/>
        </w:rPr>
      </w:pPr>
      <w:r>
        <w:rPr>
          <w:rFonts w:hint="eastAsia" w:ascii="宋体" w:hAnsi="宋体" w:cs="宋体"/>
          <w:color w:val="auto"/>
          <w:szCs w:val="24"/>
        </w:rPr>
        <w:t>12.检验和验收</w:t>
      </w:r>
    </w:p>
    <w:p w14:paraId="2EC4E43A">
      <w:pPr>
        <w:pStyle w:val="10"/>
        <w:widowControl/>
        <w:spacing w:line="360" w:lineRule="auto"/>
        <w:ind w:firstLine="480" w:firstLineChars="200"/>
        <w:rPr>
          <w:rFonts w:hint="eastAsia" w:ascii="宋体" w:hAnsi="宋体" w:cs="宋体"/>
          <w:color w:val="auto"/>
          <w:szCs w:val="24"/>
        </w:rPr>
      </w:pPr>
      <w:r>
        <w:rPr>
          <w:rFonts w:hint="eastAsia" w:ascii="宋体" w:hAnsi="宋体" w:cs="宋体"/>
          <w:color w:val="auto"/>
          <w:szCs w:val="24"/>
        </w:rPr>
        <w:t>13.索赔</w:t>
      </w:r>
    </w:p>
    <w:p w14:paraId="19A107D8">
      <w:pPr>
        <w:pStyle w:val="10"/>
        <w:widowControl/>
        <w:spacing w:line="360" w:lineRule="auto"/>
        <w:ind w:firstLine="480" w:firstLineChars="200"/>
        <w:rPr>
          <w:rFonts w:hint="eastAsia" w:ascii="宋体" w:hAnsi="宋体" w:cs="宋体"/>
          <w:color w:val="auto"/>
          <w:szCs w:val="24"/>
        </w:rPr>
      </w:pPr>
      <w:r>
        <w:rPr>
          <w:rFonts w:hint="eastAsia" w:ascii="宋体" w:hAnsi="宋体" w:cs="宋体"/>
          <w:color w:val="auto"/>
          <w:szCs w:val="24"/>
        </w:rPr>
        <w:t>13.3 索赔通知期限：</w:t>
      </w:r>
      <w:r>
        <w:rPr>
          <w:rFonts w:hint="eastAsia" w:ascii="宋体" w:hAnsi="宋体" w:cs="宋体"/>
          <w:color w:val="auto"/>
          <w:szCs w:val="24"/>
          <w:u w:val="single"/>
        </w:rPr>
        <w:t>  5  </w:t>
      </w:r>
      <w:r>
        <w:rPr>
          <w:rFonts w:hint="eastAsia" w:ascii="宋体" w:hAnsi="宋体" w:cs="宋体"/>
          <w:color w:val="auto"/>
          <w:szCs w:val="24"/>
        </w:rPr>
        <w:t>天。</w:t>
      </w:r>
    </w:p>
    <w:p w14:paraId="05386BD3">
      <w:pPr>
        <w:pStyle w:val="10"/>
        <w:widowControl/>
        <w:spacing w:line="360" w:lineRule="auto"/>
        <w:ind w:firstLine="480" w:firstLineChars="200"/>
        <w:rPr>
          <w:rFonts w:hint="eastAsia" w:ascii="宋体" w:hAnsi="宋体" w:cs="宋体"/>
          <w:color w:val="auto"/>
          <w:szCs w:val="24"/>
        </w:rPr>
      </w:pPr>
      <w:r>
        <w:rPr>
          <w:rFonts w:hint="eastAsia" w:ascii="宋体" w:hAnsi="宋体" w:cs="宋体"/>
          <w:color w:val="auto"/>
          <w:szCs w:val="24"/>
        </w:rPr>
        <w:t>16.不可抗力</w:t>
      </w:r>
    </w:p>
    <w:p w14:paraId="593BCB6D">
      <w:pPr>
        <w:pStyle w:val="10"/>
        <w:widowControl/>
        <w:spacing w:line="360" w:lineRule="auto"/>
        <w:ind w:firstLine="480" w:firstLineChars="200"/>
        <w:rPr>
          <w:rFonts w:hint="eastAsia" w:ascii="宋体" w:hAnsi="宋体" w:cs="宋体"/>
          <w:color w:val="auto"/>
          <w:szCs w:val="24"/>
        </w:rPr>
      </w:pPr>
      <w:r>
        <w:rPr>
          <w:rFonts w:hint="eastAsia" w:ascii="宋体" w:hAnsi="宋体" w:cs="宋体"/>
          <w:color w:val="auto"/>
          <w:szCs w:val="24"/>
        </w:rPr>
        <w:t>16.2 不可抗力通知送达时间：事故发生后</w:t>
      </w:r>
      <w:r>
        <w:rPr>
          <w:rFonts w:hint="eastAsia" w:ascii="宋体" w:hAnsi="宋体" w:cs="宋体"/>
          <w:color w:val="auto"/>
          <w:szCs w:val="24"/>
          <w:u w:val="single"/>
        </w:rPr>
        <w:t>  5  </w:t>
      </w:r>
      <w:r>
        <w:rPr>
          <w:rFonts w:hint="eastAsia" w:ascii="宋体" w:hAnsi="宋体" w:cs="宋体"/>
          <w:color w:val="auto"/>
          <w:szCs w:val="24"/>
        </w:rPr>
        <w:t>天内。</w:t>
      </w:r>
    </w:p>
    <w:p w14:paraId="17469727">
      <w:pPr>
        <w:rPr>
          <w:rFonts w:hint="eastAsia" w:ascii="宋体" w:hAnsi="宋体" w:cs="宋体"/>
          <w:color w:val="auto"/>
          <w:szCs w:val="24"/>
        </w:rPr>
      </w:pPr>
      <w:r>
        <w:rPr>
          <w:rFonts w:hint="eastAsia" w:ascii="宋体" w:hAnsi="宋体" w:cs="宋体"/>
          <w:color w:val="auto"/>
          <w:szCs w:val="24"/>
        </w:rPr>
        <w:br w:type="page"/>
      </w:r>
    </w:p>
    <w:p w14:paraId="62821EC9">
      <w:pPr>
        <w:pStyle w:val="10"/>
        <w:widowControl/>
        <w:spacing w:line="360" w:lineRule="auto"/>
        <w:rPr>
          <w:rFonts w:ascii="Calibri" w:hAnsi="Calibri"/>
          <w:b/>
          <w:bCs/>
          <w:color w:val="auto"/>
          <w:sz w:val="44"/>
          <w:szCs w:val="52"/>
        </w:rPr>
      </w:pPr>
      <w:r>
        <w:rPr>
          <w:rFonts w:hint="eastAsia" w:ascii="宋体" w:hAnsi="宋体" w:cs="宋体"/>
          <w:color w:val="auto"/>
          <w:sz w:val="24"/>
          <w:szCs w:val="24"/>
          <w:u w:val="none"/>
          <w:lang w:val="en-US" w:eastAsia="zh-CN"/>
        </w:rPr>
        <w:t>附件：</w:t>
      </w:r>
      <w:r>
        <w:rPr>
          <w:rFonts w:hint="eastAsia" w:ascii="宋体" w:hAnsi="宋体" w:cs="宋体"/>
          <w:color w:val="auto"/>
          <w:sz w:val="24"/>
          <w:szCs w:val="24"/>
          <w:u w:val="none"/>
        </w:rPr>
        <w:t>《古代木帆船模型及参数要求》</w:t>
      </w:r>
    </w:p>
    <w:tbl>
      <w:tblPr>
        <w:tblStyle w:val="12"/>
        <w:tblW w:w="81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8"/>
        <w:gridCol w:w="6823"/>
      </w:tblGrid>
      <w:tr w14:paraId="6666A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8101" w:type="dxa"/>
            <w:gridSpan w:val="2"/>
            <w:tcBorders>
              <w:top w:val="single" w:color="auto" w:sz="4" w:space="0"/>
              <w:left w:val="single" w:color="auto" w:sz="4" w:space="0"/>
              <w:bottom w:val="single" w:color="auto" w:sz="4" w:space="0"/>
              <w:right w:val="single" w:color="auto" w:sz="4" w:space="0"/>
            </w:tcBorders>
            <w:noWrap/>
            <w:vAlign w:val="center"/>
          </w:tcPr>
          <w:p w14:paraId="5D6C268B">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 w:val="28"/>
                <w:szCs w:val="28"/>
              </w:rPr>
              <w:t>项目1：大型广船模型</w:t>
            </w:r>
          </w:p>
        </w:tc>
      </w:tr>
      <w:tr w14:paraId="200F9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1278" w:type="dxa"/>
            <w:tcBorders>
              <w:top w:val="single" w:color="auto" w:sz="4" w:space="0"/>
              <w:left w:val="single" w:color="auto" w:sz="4" w:space="0"/>
              <w:bottom w:val="single" w:color="auto" w:sz="4" w:space="0"/>
              <w:right w:val="single" w:color="auto" w:sz="4" w:space="0"/>
            </w:tcBorders>
            <w:noWrap/>
            <w:vAlign w:val="center"/>
          </w:tcPr>
          <w:p w14:paraId="6E25A598">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尺寸</w:t>
            </w:r>
          </w:p>
          <w:p w14:paraId="7F02D8DD">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工艺</w:t>
            </w:r>
          </w:p>
          <w:p w14:paraId="370174A8">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说明</w:t>
            </w:r>
          </w:p>
        </w:tc>
        <w:tc>
          <w:tcPr>
            <w:tcW w:w="6823" w:type="dxa"/>
            <w:tcBorders>
              <w:top w:val="single" w:color="auto" w:sz="4" w:space="0"/>
              <w:left w:val="single" w:color="auto" w:sz="4" w:space="0"/>
              <w:bottom w:val="single" w:color="auto" w:sz="4" w:space="0"/>
              <w:right w:val="single" w:color="auto" w:sz="4" w:space="0"/>
            </w:tcBorders>
            <w:noWrap/>
          </w:tcPr>
          <w:p w14:paraId="533A35F6">
            <w:pPr>
              <w:rPr>
                <w:rFonts w:hint="eastAsia" w:ascii="仿宋" w:hAnsi="仿宋" w:eastAsia="仿宋" w:cs="Times New Roman"/>
                <w:color w:val="auto"/>
                <w:szCs w:val="21"/>
              </w:rPr>
            </w:pPr>
            <w:r>
              <w:rPr>
                <w:rFonts w:hint="eastAsia" w:ascii="仿宋" w:hAnsi="仿宋" w:eastAsia="仿宋" w:cs="Times New Roman"/>
                <w:color w:val="auto"/>
                <w:szCs w:val="21"/>
              </w:rPr>
              <w:t>模型全长1.8米左右。船体构件细部与衔接清晰准确，比例科学准确，全方位展示中国古代广船建造工艺特征。</w:t>
            </w:r>
          </w:p>
          <w:p w14:paraId="6DAAF025">
            <w:pPr>
              <w:rPr>
                <w:rFonts w:hint="eastAsia" w:ascii="仿宋" w:hAnsi="仿宋" w:eastAsia="仿宋" w:cs="Times New Roman"/>
                <w:color w:val="auto"/>
                <w:szCs w:val="21"/>
              </w:rPr>
            </w:pPr>
            <w:r>
              <w:rPr>
                <w:rFonts w:hint="eastAsia" w:ascii="仿宋" w:hAnsi="仿宋" w:eastAsia="仿宋" w:cs="Times New Roman"/>
                <w:color w:val="auto"/>
                <w:szCs w:val="21"/>
              </w:rPr>
              <w:t>备注：该模型需以中国古代广船中体型较大的</w:t>
            </w:r>
            <w:r>
              <w:rPr>
                <w:rFonts w:hint="eastAsia" w:ascii="仿宋" w:hAnsi="仿宋" w:eastAsia="仿宋" w:cs="Times New Roman"/>
                <w:color w:val="auto"/>
                <w:szCs w:val="21"/>
                <w:lang w:val="en-US" w:eastAsia="zh-CN"/>
              </w:rPr>
              <w:t>远洋</w:t>
            </w:r>
            <w:r>
              <w:rPr>
                <w:rFonts w:hint="eastAsia" w:ascii="仿宋" w:hAnsi="仿宋" w:eastAsia="仿宋" w:cs="Times New Roman"/>
                <w:color w:val="auto"/>
                <w:szCs w:val="21"/>
              </w:rPr>
              <w:t>运输商船为原型，等比例缩放制作而成。需遵循古代广船建造方法，由具备实船建造经验的工匠采用手工制作，着重体现广船的结构及建造工艺（开孔舵</w:t>
            </w:r>
            <w:r>
              <w:rPr>
                <w:rFonts w:hint="eastAsia" w:ascii="仿宋" w:hAnsi="仿宋" w:eastAsia="仿宋" w:cs="Times New Roman"/>
                <w:color w:val="auto"/>
                <w:szCs w:val="21"/>
                <w:lang w:val="en-US" w:eastAsia="zh-CN"/>
              </w:rPr>
              <w:t>等</w:t>
            </w:r>
            <w:r>
              <w:rPr>
                <w:rFonts w:hint="eastAsia" w:ascii="仿宋" w:hAnsi="仿宋" w:eastAsia="仿宋" w:cs="Times New Roman"/>
                <w:color w:val="auto"/>
                <w:szCs w:val="21"/>
              </w:rPr>
              <w:t>），甲板之下的各舱室结构、桅底部件等需一并制作。</w:t>
            </w:r>
          </w:p>
        </w:tc>
      </w:tr>
      <w:tr w14:paraId="0AE4C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1278" w:type="dxa"/>
            <w:tcBorders>
              <w:top w:val="single" w:color="auto" w:sz="4" w:space="0"/>
              <w:left w:val="single" w:color="auto" w:sz="4" w:space="0"/>
              <w:bottom w:val="single" w:color="auto" w:sz="4" w:space="0"/>
              <w:right w:val="single" w:color="auto" w:sz="4" w:space="0"/>
            </w:tcBorders>
            <w:noWrap/>
            <w:vAlign w:val="center"/>
          </w:tcPr>
          <w:p w14:paraId="5D97E6C3">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船模</w:t>
            </w:r>
          </w:p>
          <w:p w14:paraId="269F0DC3">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主材</w:t>
            </w:r>
          </w:p>
          <w:p w14:paraId="69399197">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说明</w:t>
            </w:r>
          </w:p>
        </w:tc>
        <w:tc>
          <w:tcPr>
            <w:tcW w:w="6823" w:type="dxa"/>
            <w:tcBorders>
              <w:top w:val="single" w:color="auto" w:sz="4" w:space="0"/>
              <w:left w:val="single" w:color="auto" w:sz="4" w:space="0"/>
              <w:bottom w:val="single" w:color="auto" w:sz="4" w:space="0"/>
              <w:right w:val="single" w:color="auto" w:sz="4" w:space="0"/>
            </w:tcBorders>
            <w:noWrap/>
            <w:vAlign w:val="center"/>
          </w:tcPr>
          <w:p w14:paraId="781EA5D2">
            <w:pPr>
              <w:rPr>
                <w:rFonts w:hint="eastAsia" w:ascii="仿宋" w:hAnsi="仿宋" w:eastAsia="仿宋" w:cs="Times New Roman"/>
                <w:color w:val="auto"/>
                <w:szCs w:val="21"/>
              </w:rPr>
            </w:pPr>
            <w:r>
              <w:rPr>
                <w:rFonts w:hint="eastAsia" w:ascii="仿宋" w:hAnsi="仿宋" w:eastAsia="仿宋" w:cs="Times New Roman"/>
                <w:color w:val="auto"/>
                <w:szCs w:val="21"/>
              </w:rPr>
              <w:t>主材可选择</w:t>
            </w:r>
            <w:r>
              <w:rPr>
                <w:rFonts w:hint="eastAsia" w:ascii="仿宋" w:hAnsi="仿宋" w:eastAsia="仿宋" w:cs="Times New Roman"/>
                <w:color w:val="auto"/>
                <w:szCs w:val="21"/>
                <w:lang w:val="en-US" w:eastAsia="zh-CN"/>
              </w:rPr>
              <w:t>铁力木、柚木、樱桃木</w:t>
            </w:r>
            <w:r>
              <w:rPr>
                <w:rFonts w:hint="eastAsia" w:ascii="仿宋" w:hAnsi="仿宋" w:eastAsia="仿宋" w:cs="Times New Roman"/>
                <w:color w:val="auto"/>
                <w:szCs w:val="21"/>
              </w:rPr>
              <w:t>，辅材用樟木、松木等制作。或依据当地工匠造船传统选用其他稳定耐用、不易形变的天然木料。禁用不符合时代要求的塑料等现代工业用材。</w:t>
            </w:r>
          </w:p>
        </w:tc>
      </w:tr>
      <w:tr w14:paraId="5F752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3" w:hRule="atLeast"/>
          <w:jc w:val="center"/>
        </w:trPr>
        <w:tc>
          <w:tcPr>
            <w:tcW w:w="1278" w:type="dxa"/>
            <w:tcBorders>
              <w:top w:val="single" w:color="auto" w:sz="4" w:space="0"/>
              <w:left w:val="single" w:color="auto" w:sz="4" w:space="0"/>
              <w:bottom w:val="single" w:color="auto" w:sz="4" w:space="0"/>
              <w:right w:val="single" w:color="auto" w:sz="4" w:space="0"/>
            </w:tcBorders>
            <w:noWrap/>
            <w:vAlign w:val="center"/>
          </w:tcPr>
          <w:p w14:paraId="12325326">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帆装</w:t>
            </w:r>
          </w:p>
          <w:p w14:paraId="5AA22B28">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涂装</w:t>
            </w:r>
          </w:p>
          <w:p w14:paraId="4B92A391">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彩绘</w:t>
            </w:r>
          </w:p>
          <w:p w14:paraId="017DE829">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属具</w:t>
            </w:r>
          </w:p>
          <w:p w14:paraId="48FC6E3E">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说明</w:t>
            </w:r>
          </w:p>
        </w:tc>
        <w:tc>
          <w:tcPr>
            <w:tcW w:w="6823" w:type="dxa"/>
            <w:tcBorders>
              <w:top w:val="single" w:color="auto" w:sz="4" w:space="0"/>
              <w:left w:val="single" w:color="auto" w:sz="4" w:space="0"/>
              <w:bottom w:val="single" w:color="auto" w:sz="4" w:space="0"/>
              <w:right w:val="single" w:color="auto" w:sz="4" w:space="0"/>
            </w:tcBorders>
            <w:noWrap/>
          </w:tcPr>
          <w:p w14:paraId="18C0F55C">
            <w:pPr>
              <w:rPr>
                <w:rFonts w:hint="eastAsia" w:ascii="仿宋" w:hAnsi="仿宋" w:eastAsia="仿宋" w:cs="Times New Roman"/>
                <w:color w:val="auto"/>
                <w:szCs w:val="21"/>
              </w:rPr>
            </w:pPr>
            <w:r>
              <w:rPr>
                <w:rFonts w:hint="eastAsia" w:ascii="仿宋" w:hAnsi="仿宋" w:eastAsia="仿宋" w:cs="Times New Roman"/>
                <w:color w:val="auto"/>
                <w:szCs w:val="21"/>
              </w:rPr>
              <w:t>船体细部结构清晰。</w:t>
            </w:r>
          </w:p>
          <w:p w14:paraId="429A00BF">
            <w:pPr>
              <w:rPr>
                <w:rFonts w:hint="eastAsia" w:ascii="仿宋" w:hAnsi="仿宋" w:eastAsia="仿宋" w:cs="Times New Roman"/>
                <w:color w:val="auto"/>
                <w:szCs w:val="21"/>
              </w:rPr>
            </w:pPr>
            <w:r>
              <w:rPr>
                <w:rFonts w:ascii="仿宋" w:hAnsi="仿宋" w:eastAsia="仿宋" w:cs="Times New Roman"/>
                <w:color w:val="auto"/>
                <w:szCs w:val="21"/>
              </w:rPr>
              <w:t>1、</w:t>
            </w:r>
            <w:r>
              <w:rPr>
                <w:rFonts w:hint="eastAsia" w:ascii="仿宋" w:hAnsi="仿宋" w:eastAsia="仿宋" w:cs="Times New Roman"/>
                <w:color w:val="auto"/>
                <w:szCs w:val="21"/>
              </w:rPr>
              <w:t>帆装：参考明清广船帆装。</w:t>
            </w:r>
          </w:p>
          <w:p w14:paraId="1A2D6C2A">
            <w:pPr>
              <w:rPr>
                <w:rFonts w:hint="eastAsia" w:ascii="仿宋" w:hAnsi="仿宋" w:eastAsia="仿宋" w:cs="Times New Roman"/>
                <w:color w:val="auto"/>
                <w:szCs w:val="21"/>
              </w:rPr>
            </w:pPr>
            <w:r>
              <w:rPr>
                <w:rFonts w:ascii="仿宋" w:hAnsi="仿宋" w:eastAsia="仿宋" w:cs="Times New Roman"/>
                <w:color w:val="auto"/>
                <w:szCs w:val="21"/>
              </w:rPr>
              <w:t>2、</w:t>
            </w:r>
            <w:r>
              <w:rPr>
                <w:rFonts w:hint="eastAsia" w:ascii="仿宋" w:hAnsi="仿宋" w:eastAsia="仿宋" w:cs="Times New Roman"/>
                <w:color w:val="auto"/>
                <w:szCs w:val="21"/>
              </w:rPr>
              <w:t>涂装：采用木蜡油进行涂装和木材封护。</w:t>
            </w:r>
          </w:p>
          <w:p w14:paraId="328E38B6">
            <w:pPr>
              <w:rPr>
                <w:rFonts w:hint="eastAsia" w:ascii="仿宋" w:hAnsi="仿宋" w:eastAsia="仿宋" w:cs="Times New Roman"/>
                <w:color w:val="auto"/>
                <w:szCs w:val="21"/>
              </w:rPr>
            </w:pPr>
            <w:r>
              <w:rPr>
                <w:rFonts w:ascii="仿宋" w:hAnsi="仿宋" w:eastAsia="仿宋" w:cs="Times New Roman"/>
                <w:color w:val="auto"/>
                <w:szCs w:val="21"/>
              </w:rPr>
              <w:t>3、</w:t>
            </w:r>
            <w:r>
              <w:rPr>
                <w:rFonts w:hint="eastAsia" w:ascii="仿宋" w:hAnsi="仿宋" w:eastAsia="仿宋" w:cs="Times New Roman"/>
                <w:color w:val="auto"/>
                <w:szCs w:val="21"/>
              </w:rPr>
              <w:t>彩绘：参考明清时期广船图案进行彩绘。</w:t>
            </w:r>
          </w:p>
          <w:p w14:paraId="4D1663A0">
            <w:pPr>
              <w:rPr>
                <w:rFonts w:hint="eastAsia" w:ascii="仿宋" w:hAnsi="仿宋" w:eastAsia="仿宋" w:cs="Times New Roman"/>
                <w:color w:val="auto"/>
                <w:szCs w:val="21"/>
              </w:rPr>
            </w:pPr>
            <w:r>
              <w:rPr>
                <w:rFonts w:ascii="仿宋" w:hAnsi="仿宋" w:eastAsia="仿宋" w:cs="Times New Roman"/>
                <w:color w:val="auto"/>
                <w:szCs w:val="21"/>
              </w:rPr>
              <w:t>4、</w:t>
            </w:r>
            <w:r>
              <w:rPr>
                <w:rFonts w:hint="eastAsia" w:ascii="仿宋" w:hAnsi="仿宋" w:eastAsia="仿宋" w:cs="Times New Roman"/>
                <w:color w:val="auto"/>
                <w:szCs w:val="21"/>
              </w:rPr>
              <w:t>属具：帆绳采用棉麻制品，在属具配备上不使用化纤等不符合时代要求的现代制品。</w:t>
            </w:r>
          </w:p>
        </w:tc>
      </w:tr>
    </w:tbl>
    <w:p w14:paraId="11B91A8A">
      <w:pPr>
        <w:rPr>
          <w:rFonts w:ascii="Calibri" w:hAnsi="Calibri"/>
          <w:color w:val="auto"/>
          <w:szCs w:val="24"/>
        </w:rPr>
      </w:pPr>
    </w:p>
    <w:tbl>
      <w:tblPr>
        <w:tblStyle w:val="12"/>
        <w:tblW w:w="81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8"/>
        <w:gridCol w:w="6823"/>
      </w:tblGrid>
      <w:tr w14:paraId="550F5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8101" w:type="dxa"/>
            <w:gridSpan w:val="2"/>
            <w:tcBorders>
              <w:top w:val="single" w:color="auto" w:sz="4" w:space="0"/>
              <w:left w:val="single" w:color="auto" w:sz="4" w:space="0"/>
              <w:bottom w:val="single" w:color="auto" w:sz="4" w:space="0"/>
              <w:right w:val="single" w:color="auto" w:sz="4" w:space="0"/>
            </w:tcBorders>
            <w:noWrap/>
            <w:vAlign w:val="center"/>
          </w:tcPr>
          <w:p w14:paraId="69336824">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 w:val="28"/>
                <w:szCs w:val="28"/>
              </w:rPr>
              <w:t>项目2：中型广船模型</w:t>
            </w:r>
          </w:p>
        </w:tc>
      </w:tr>
      <w:tr w14:paraId="2BC69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1278" w:type="dxa"/>
            <w:tcBorders>
              <w:top w:val="single" w:color="auto" w:sz="4" w:space="0"/>
              <w:left w:val="single" w:color="auto" w:sz="4" w:space="0"/>
              <w:bottom w:val="single" w:color="auto" w:sz="4" w:space="0"/>
              <w:right w:val="single" w:color="auto" w:sz="4" w:space="0"/>
            </w:tcBorders>
            <w:noWrap/>
            <w:vAlign w:val="center"/>
          </w:tcPr>
          <w:p w14:paraId="540859F8">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尺寸</w:t>
            </w:r>
          </w:p>
          <w:p w14:paraId="28454F7F">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工艺</w:t>
            </w:r>
          </w:p>
          <w:p w14:paraId="578378E1">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说明</w:t>
            </w:r>
          </w:p>
        </w:tc>
        <w:tc>
          <w:tcPr>
            <w:tcW w:w="6823" w:type="dxa"/>
            <w:tcBorders>
              <w:top w:val="single" w:color="auto" w:sz="4" w:space="0"/>
              <w:left w:val="single" w:color="auto" w:sz="4" w:space="0"/>
              <w:bottom w:val="single" w:color="auto" w:sz="4" w:space="0"/>
              <w:right w:val="single" w:color="auto" w:sz="4" w:space="0"/>
            </w:tcBorders>
            <w:noWrap/>
          </w:tcPr>
          <w:p w14:paraId="27263B85">
            <w:pPr>
              <w:rPr>
                <w:rFonts w:hint="eastAsia" w:ascii="仿宋" w:hAnsi="仿宋" w:eastAsia="仿宋" w:cs="Times New Roman"/>
                <w:color w:val="auto"/>
                <w:szCs w:val="21"/>
              </w:rPr>
            </w:pPr>
            <w:r>
              <w:rPr>
                <w:rFonts w:hint="eastAsia" w:ascii="仿宋" w:hAnsi="仿宋" w:eastAsia="仿宋" w:cs="Times New Roman"/>
                <w:color w:val="auto"/>
                <w:szCs w:val="21"/>
              </w:rPr>
              <w:t>模型全长1.6米左右。船体构件细部与衔接清晰准确，比例科学准确，全方位展示中国古代广船建造工艺特征。</w:t>
            </w:r>
          </w:p>
          <w:p w14:paraId="05E14FFD">
            <w:pPr>
              <w:jc w:val="left"/>
              <w:rPr>
                <w:rFonts w:hint="eastAsia" w:ascii="仿宋" w:hAnsi="仿宋" w:eastAsia="仿宋" w:cs="Times New Roman"/>
                <w:color w:val="auto"/>
                <w:szCs w:val="21"/>
              </w:rPr>
            </w:pPr>
            <w:r>
              <w:rPr>
                <w:rFonts w:hint="eastAsia" w:ascii="仿宋" w:hAnsi="仿宋" w:eastAsia="仿宋" w:cs="Times New Roman"/>
                <w:color w:val="auto"/>
                <w:szCs w:val="21"/>
              </w:rPr>
              <w:t>备注：该模型选择中国古代广船中体型稍小、用于近海货运或渔业船只为原型，等比例缩放制作而成。需遵循古代广船建造方法，由具备实船建造经验的工匠采用手工制作，着重体现广船的结构及建造工艺</w:t>
            </w:r>
            <w:r>
              <w:rPr>
                <w:rFonts w:hint="eastAsia" w:ascii="仿宋" w:hAnsi="仿宋" w:eastAsia="仿宋" w:cs="Times New Roman"/>
                <w:color w:val="auto"/>
                <w:szCs w:val="21"/>
                <w:lang w:eastAsia="zh-CN"/>
              </w:rPr>
              <w:t>（</w:t>
            </w:r>
            <w:r>
              <w:rPr>
                <w:rFonts w:hint="eastAsia" w:ascii="仿宋" w:hAnsi="仿宋" w:eastAsia="仿宋" w:cs="Times New Roman"/>
                <w:color w:val="auto"/>
                <w:szCs w:val="21"/>
                <w:lang w:val="en-US" w:eastAsia="zh-CN"/>
              </w:rPr>
              <w:t>中插板、圆弧形艉部、开孔舵等）</w:t>
            </w:r>
            <w:r>
              <w:rPr>
                <w:rFonts w:hint="eastAsia" w:ascii="仿宋" w:hAnsi="仿宋" w:eastAsia="仿宋" w:cs="Times New Roman"/>
                <w:color w:val="auto"/>
                <w:szCs w:val="21"/>
              </w:rPr>
              <w:t>，甲板之下的各舱室结构、桅底部件等需一并制作。</w:t>
            </w:r>
          </w:p>
        </w:tc>
      </w:tr>
      <w:tr w14:paraId="77E6D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1278" w:type="dxa"/>
            <w:tcBorders>
              <w:top w:val="single" w:color="auto" w:sz="4" w:space="0"/>
              <w:left w:val="single" w:color="auto" w:sz="4" w:space="0"/>
              <w:bottom w:val="single" w:color="auto" w:sz="4" w:space="0"/>
              <w:right w:val="single" w:color="auto" w:sz="4" w:space="0"/>
            </w:tcBorders>
            <w:noWrap/>
            <w:vAlign w:val="center"/>
          </w:tcPr>
          <w:p w14:paraId="7A8742FD">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船模</w:t>
            </w:r>
          </w:p>
          <w:p w14:paraId="78FC505B">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主材</w:t>
            </w:r>
          </w:p>
          <w:p w14:paraId="6A7494BD">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说明</w:t>
            </w:r>
          </w:p>
        </w:tc>
        <w:tc>
          <w:tcPr>
            <w:tcW w:w="6823" w:type="dxa"/>
            <w:tcBorders>
              <w:top w:val="single" w:color="auto" w:sz="4" w:space="0"/>
              <w:left w:val="single" w:color="auto" w:sz="4" w:space="0"/>
              <w:bottom w:val="single" w:color="auto" w:sz="4" w:space="0"/>
              <w:right w:val="single" w:color="auto" w:sz="4" w:space="0"/>
            </w:tcBorders>
            <w:noWrap/>
            <w:vAlign w:val="center"/>
          </w:tcPr>
          <w:p w14:paraId="6A937042">
            <w:pPr>
              <w:jc w:val="left"/>
              <w:rPr>
                <w:rFonts w:hint="eastAsia" w:ascii="仿宋" w:hAnsi="仿宋" w:eastAsia="仿宋" w:cs="Times New Roman"/>
                <w:color w:val="auto"/>
                <w:szCs w:val="21"/>
              </w:rPr>
            </w:pPr>
            <w:r>
              <w:rPr>
                <w:rFonts w:hint="eastAsia" w:ascii="仿宋" w:hAnsi="仿宋" w:eastAsia="仿宋" w:cs="Times New Roman"/>
                <w:color w:val="auto"/>
                <w:szCs w:val="21"/>
              </w:rPr>
              <w:t>主材可选择</w:t>
            </w:r>
            <w:r>
              <w:rPr>
                <w:rFonts w:hint="eastAsia" w:ascii="仿宋" w:hAnsi="仿宋" w:eastAsia="仿宋" w:cs="Times New Roman"/>
                <w:color w:val="auto"/>
                <w:szCs w:val="21"/>
                <w:lang w:val="en-US" w:eastAsia="zh-CN"/>
              </w:rPr>
              <w:t>铁力木、柚木、樱桃木</w:t>
            </w:r>
            <w:r>
              <w:rPr>
                <w:rFonts w:hint="eastAsia" w:ascii="仿宋" w:hAnsi="仿宋" w:eastAsia="仿宋" w:cs="Times New Roman"/>
                <w:color w:val="auto"/>
                <w:szCs w:val="21"/>
              </w:rPr>
              <w:t>，辅材用樟木、松木等制作。或依据当地工匠造船传统选用其他稳定耐用、不易形变的天然木料。禁用不符合时代要求的塑料等现代工业用材。</w:t>
            </w:r>
          </w:p>
        </w:tc>
      </w:tr>
      <w:tr w14:paraId="0E1F7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3" w:hRule="atLeast"/>
          <w:jc w:val="center"/>
        </w:trPr>
        <w:tc>
          <w:tcPr>
            <w:tcW w:w="1278" w:type="dxa"/>
            <w:tcBorders>
              <w:top w:val="single" w:color="auto" w:sz="4" w:space="0"/>
              <w:left w:val="single" w:color="auto" w:sz="4" w:space="0"/>
              <w:bottom w:val="single" w:color="auto" w:sz="4" w:space="0"/>
              <w:right w:val="single" w:color="auto" w:sz="4" w:space="0"/>
            </w:tcBorders>
            <w:noWrap/>
            <w:vAlign w:val="center"/>
          </w:tcPr>
          <w:p w14:paraId="1EE7D5A3">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帆装</w:t>
            </w:r>
          </w:p>
          <w:p w14:paraId="0FD3E392">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涂装</w:t>
            </w:r>
          </w:p>
          <w:p w14:paraId="12FDB529">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彩绘</w:t>
            </w:r>
          </w:p>
          <w:p w14:paraId="485B69BC">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属具</w:t>
            </w:r>
          </w:p>
          <w:p w14:paraId="438E6137">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说明</w:t>
            </w:r>
          </w:p>
        </w:tc>
        <w:tc>
          <w:tcPr>
            <w:tcW w:w="6823" w:type="dxa"/>
            <w:tcBorders>
              <w:top w:val="single" w:color="auto" w:sz="4" w:space="0"/>
              <w:left w:val="single" w:color="auto" w:sz="4" w:space="0"/>
              <w:bottom w:val="single" w:color="auto" w:sz="4" w:space="0"/>
              <w:right w:val="single" w:color="auto" w:sz="4" w:space="0"/>
            </w:tcBorders>
            <w:noWrap/>
          </w:tcPr>
          <w:p w14:paraId="7D80544F">
            <w:pPr>
              <w:rPr>
                <w:rFonts w:hint="eastAsia" w:ascii="仿宋" w:hAnsi="仿宋" w:eastAsia="仿宋" w:cs="Times New Roman"/>
                <w:color w:val="auto"/>
                <w:szCs w:val="21"/>
              </w:rPr>
            </w:pPr>
            <w:r>
              <w:rPr>
                <w:rFonts w:hint="eastAsia" w:ascii="仿宋" w:hAnsi="仿宋" w:eastAsia="仿宋" w:cs="Times New Roman"/>
                <w:color w:val="auto"/>
                <w:szCs w:val="21"/>
              </w:rPr>
              <w:t>船体细部结构清晰。</w:t>
            </w:r>
          </w:p>
          <w:p w14:paraId="4F8D182E">
            <w:pPr>
              <w:rPr>
                <w:rFonts w:hint="eastAsia" w:ascii="仿宋" w:hAnsi="仿宋" w:eastAsia="仿宋" w:cs="Times New Roman"/>
                <w:color w:val="auto"/>
                <w:szCs w:val="21"/>
              </w:rPr>
            </w:pPr>
            <w:r>
              <w:rPr>
                <w:rFonts w:ascii="仿宋" w:hAnsi="仿宋" w:eastAsia="仿宋" w:cs="Times New Roman"/>
                <w:color w:val="auto"/>
                <w:szCs w:val="21"/>
              </w:rPr>
              <w:t>1、</w:t>
            </w:r>
            <w:r>
              <w:rPr>
                <w:rFonts w:hint="eastAsia" w:ascii="仿宋" w:hAnsi="仿宋" w:eastAsia="仿宋" w:cs="Times New Roman"/>
                <w:color w:val="auto"/>
                <w:szCs w:val="21"/>
              </w:rPr>
              <w:t>帆装：参考明清广船帆装。</w:t>
            </w:r>
          </w:p>
          <w:p w14:paraId="25B256AC">
            <w:pPr>
              <w:rPr>
                <w:rFonts w:hint="eastAsia" w:ascii="仿宋" w:hAnsi="仿宋" w:eastAsia="仿宋" w:cs="Times New Roman"/>
                <w:color w:val="auto"/>
                <w:szCs w:val="21"/>
              </w:rPr>
            </w:pPr>
            <w:r>
              <w:rPr>
                <w:rFonts w:ascii="仿宋" w:hAnsi="仿宋" w:eastAsia="仿宋" w:cs="Times New Roman"/>
                <w:color w:val="auto"/>
                <w:szCs w:val="21"/>
              </w:rPr>
              <w:t>2、</w:t>
            </w:r>
            <w:r>
              <w:rPr>
                <w:rFonts w:hint="eastAsia" w:ascii="仿宋" w:hAnsi="仿宋" w:eastAsia="仿宋" w:cs="Times New Roman"/>
                <w:color w:val="auto"/>
                <w:szCs w:val="21"/>
              </w:rPr>
              <w:t>涂装：采用木蜡油进行涂装和木材封护。</w:t>
            </w:r>
          </w:p>
          <w:p w14:paraId="0B2E4C37">
            <w:pPr>
              <w:rPr>
                <w:rFonts w:hint="eastAsia" w:ascii="仿宋" w:hAnsi="仿宋" w:eastAsia="仿宋" w:cs="Times New Roman"/>
                <w:color w:val="auto"/>
                <w:szCs w:val="21"/>
              </w:rPr>
            </w:pPr>
            <w:r>
              <w:rPr>
                <w:rFonts w:ascii="仿宋" w:hAnsi="仿宋" w:eastAsia="仿宋" w:cs="Times New Roman"/>
                <w:color w:val="auto"/>
                <w:szCs w:val="21"/>
              </w:rPr>
              <w:t>3、</w:t>
            </w:r>
            <w:r>
              <w:rPr>
                <w:rFonts w:hint="eastAsia" w:ascii="仿宋" w:hAnsi="仿宋" w:eastAsia="仿宋" w:cs="Times New Roman"/>
                <w:color w:val="auto"/>
                <w:szCs w:val="21"/>
              </w:rPr>
              <w:t>彩绘：参考明清时期广船图案进行彩绘。</w:t>
            </w:r>
          </w:p>
          <w:p w14:paraId="6A90AC6D">
            <w:pPr>
              <w:rPr>
                <w:rFonts w:hint="eastAsia" w:ascii="仿宋" w:hAnsi="仿宋" w:eastAsia="仿宋" w:cs="Times New Roman"/>
                <w:color w:val="auto"/>
                <w:szCs w:val="21"/>
              </w:rPr>
            </w:pPr>
            <w:r>
              <w:rPr>
                <w:rFonts w:ascii="仿宋" w:hAnsi="仿宋" w:eastAsia="仿宋" w:cs="Times New Roman"/>
                <w:color w:val="auto"/>
                <w:szCs w:val="21"/>
              </w:rPr>
              <w:t>4、</w:t>
            </w:r>
            <w:r>
              <w:rPr>
                <w:rFonts w:hint="eastAsia" w:ascii="仿宋" w:hAnsi="仿宋" w:eastAsia="仿宋" w:cs="Times New Roman"/>
                <w:color w:val="auto"/>
                <w:szCs w:val="21"/>
              </w:rPr>
              <w:t>属具：属具配备上不使用化纤等不符合时代要求的现代制品。</w:t>
            </w:r>
          </w:p>
        </w:tc>
      </w:tr>
    </w:tbl>
    <w:p w14:paraId="03CEEC14">
      <w:pPr>
        <w:rPr>
          <w:rFonts w:ascii="Calibri" w:hAnsi="Calibri"/>
          <w:color w:val="auto"/>
          <w:szCs w:val="24"/>
        </w:rPr>
      </w:pPr>
    </w:p>
    <w:tbl>
      <w:tblPr>
        <w:tblStyle w:val="12"/>
        <w:tblW w:w="81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8"/>
        <w:gridCol w:w="6823"/>
      </w:tblGrid>
      <w:tr w14:paraId="21EEB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8101" w:type="dxa"/>
            <w:gridSpan w:val="2"/>
            <w:tcBorders>
              <w:top w:val="single" w:color="auto" w:sz="4" w:space="0"/>
              <w:left w:val="single" w:color="auto" w:sz="4" w:space="0"/>
              <w:bottom w:val="single" w:color="auto" w:sz="4" w:space="0"/>
              <w:right w:val="single" w:color="auto" w:sz="4" w:space="0"/>
            </w:tcBorders>
            <w:noWrap/>
            <w:vAlign w:val="center"/>
          </w:tcPr>
          <w:p w14:paraId="378EC5AE">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 w:val="28"/>
                <w:szCs w:val="28"/>
              </w:rPr>
              <w:t>项目3：</w:t>
            </w:r>
            <w:bookmarkStart w:id="68" w:name="OLE_LINK6"/>
            <w:r>
              <w:rPr>
                <w:rFonts w:hint="eastAsia" w:ascii="仿宋_GB2312" w:hAnsi="宋体" w:eastAsia="仿宋_GB2312" w:cs="Times New Roman"/>
                <w:color w:val="auto"/>
                <w:sz w:val="28"/>
                <w:szCs w:val="28"/>
              </w:rPr>
              <w:t>黑石号</w:t>
            </w:r>
            <w:bookmarkEnd w:id="68"/>
            <w:r>
              <w:rPr>
                <w:rFonts w:hint="eastAsia" w:ascii="仿宋_GB2312" w:hAnsi="宋体" w:eastAsia="仿宋_GB2312" w:cs="Times New Roman"/>
                <w:color w:val="auto"/>
                <w:sz w:val="28"/>
                <w:szCs w:val="28"/>
              </w:rPr>
              <w:t>模型</w:t>
            </w:r>
          </w:p>
        </w:tc>
      </w:tr>
      <w:tr w14:paraId="07B95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1278" w:type="dxa"/>
            <w:tcBorders>
              <w:top w:val="single" w:color="auto" w:sz="4" w:space="0"/>
              <w:left w:val="single" w:color="auto" w:sz="4" w:space="0"/>
              <w:bottom w:val="single" w:color="auto" w:sz="4" w:space="0"/>
              <w:right w:val="single" w:color="auto" w:sz="4" w:space="0"/>
            </w:tcBorders>
            <w:noWrap/>
            <w:vAlign w:val="center"/>
          </w:tcPr>
          <w:p w14:paraId="1A1B7627">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尺寸</w:t>
            </w:r>
          </w:p>
          <w:p w14:paraId="75784E28">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工艺</w:t>
            </w:r>
          </w:p>
          <w:p w14:paraId="7781FFFD">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说明</w:t>
            </w:r>
          </w:p>
        </w:tc>
        <w:tc>
          <w:tcPr>
            <w:tcW w:w="6823" w:type="dxa"/>
            <w:tcBorders>
              <w:top w:val="single" w:color="auto" w:sz="4" w:space="0"/>
              <w:left w:val="single" w:color="auto" w:sz="4" w:space="0"/>
              <w:bottom w:val="single" w:color="auto" w:sz="4" w:space="0"/>
              <w:right w:val="single" w:color="auto" w:sz="4" w:space="0"/>
            </w:tcBorders>
            <w:noWrap/>
          </w:tcPr>
          <w:p w14:paraId="6002427B">
            <w:pPr>
              <w:jc w:val="left"/>
              <w:rPr>
                <w:rFonts w:hint="eastAsia" w:ascii="仿宋" w:hAnsi="仿宋" w:eastAsia="仿宋" w:cs="Times New Roman"/>
                <w:color w:val="auto"/>
                <w:szCs w:val="21"/>
              </w:rPr>
            </w:pPr>
            <w:r>
              <w:rPr>
                <w:rFonts w:hint="eastAsia" w:ascii="仿宋" w:hAnsi="仿宋" w:eastAsia="仿宋" w:cs="Times New Roman"/>
                <w:color w:val="auto"/>
                <w:szCs w:val="21"/>
              </w:rPr>
              <w:t>模型全长1.</w:t>
            </w:r>
            <w:r>
              <w:rPr>
                <w:rFonts w:hint="eastAsia" w:ascii="仿宋" w:hAnsi="仿宋" w:eastAsia="仿宋" w:cs="Times New Roman"/>
                <w:color w:val="auto"/>
                <w:szCs w:val="21"/>
                <w:lang w:val="en-US" w:eastAsia="zh-CN"/>
              </w:rPr>
              <w:t>8</w:t>
            </w:r>
            <w:bookmarkStart w:id="73" w:name="_GoBack"/>
            <w:bookmarkEnd w:id="73"/>
            <w:r>
              <w:rPr>
                <w:rFonts w:hint="eastAsia" w:ascii="仿宋" w:hAnsi="仿宋" w:eastAsia="仿宋" w:cs="Times New Roman"/>
                <w:color w:val="auto"/>
                <w:szCs w:val="21"/>
              </w:rPr>
              <w:t>米左右。船体构件细部与衔接清晰准确，比例科学准确。</w:t>
            </w:r>
          </w:p>
          <w:p w14:paraId="428A6BF9">
            <w:pPr>
              <w:rPr>
                <w:rFonts w:hint="eastAsia" w:ascii="仿宋" w:hAnsi="仿宋" w:eastAsia="仿宋" w:cs="Times New Roman"/>
                <w:color w:val="auto"/>
                <w:szCs w:val="21"/>
              </w:rPr>
            </w:pPr>
            <w:r>
              <w:rPr>
                <w:rFonts w:hint="eastAsia" w:ascii="仿宋" w:hAnsi="仿宋" w:eastAsia="仿宋" w:cs="Times New Roman"/>
                <w:color w:val="auto"/>
                <w:szCs w:val="21"/>
              </w:rPr>
              <w:t>备注：参考黑石号沉船考古发现及历史文献资料所记阿拉伯</w:t>
            </w:r>
            <w:r>
              <w:rPr>
                <w:rFonts w:ascii="仿宋" w:hAnsi="仿宋" w:eastAsia="仿宋" w:cs="Times New Roman"/>
                <w:color w:val="auto"/>
                <w:szCs w:val="21"/>
              </w:rPr>
              <w:t>缝合商船</w:t>
            </w:r>
            <w:r>
              <w:rPr>
                <w:rFonts w:hint="eastAsia" w:ascii="仿宋" w:hAnsi="仿宋" w:eastAsia="仿宋" w:cs="Times New Roman"/>
                <w:color w:val="auto"/>
                <w:szCs w:val="21"/>
              </w:rPr>
              <w:t>进行复原，等比例缩放制作而成。船体结构及外观特征要体现缝合技艺，模型需科学严谨，避免出现与原船时代背景相悖的臆造成分。</w:t>
            </w:r>
          </w:p>
        </w:tc>
      </w:tr>
      <w:tr w14:paraId="2027F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1278" w:type="dxa"/>
            <w:tcBorders>
              <w:top w:val="single" w:color="auto" w:sz="4" w:space="0"/>
              <w:left w:val="single" w:color="auto" w:sz="4" w:space="0"/>
              <w:bottom w:val="single" w:color="auto" w:sz="4" w:space="0"/>
              <w:right w:val="single" w:color="auto" w:sz="4" w:space="0"/>
            </w:tcBorders>
            <w:noWrap/>
            <w:vAlign w:val="center"/>
          </w:tcPr>
          <w:p w14:paraId="12E72123">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参考图</w:t>
            </w:r>
          </w:p>
        </w:tc>
        <w:tc>
          <w:tcPr>
            <w:tcW w:w="6823" w:type="dxa"/>
            <w:tcBorders>
              <w:top w:val="single" w:color="auto" w:sz="4" w:space="0"/>
              <w:left w:val="single" w:color="auto" w:sz="4" w:space="0"/>
              <w:bottom w:val="single" w:color="auto" w:sz="4" w:space="0"/>
              <w:right w:val="single" w:color="auto" w:sz="4" w:space="0"/>
            </w:tcBorders>
            <w:noWrap/>
          </w:tcPr>
          <w:p w14:paraId="39981896">
            <w:pPr>
              <w:jc w:val="center"/>
              <w:rPr>
                <w:rFonts w:hint="eastAsia" w:ascii="仿宋" w:hAnsi="仿宋" w:eastAsia="仿宋" w:cs="Times New Roman"/>
                <w:color w:val="auto"/>
                <w:szCs w:val="21"/>
              </w:rPr>
            </w:pPr>
            <w:r>
              <w:rPr>
                <w:rFonts w:hint="eastAsia" w:ascii="仿宋" w:hAnsi="仿宋" w:eastAsia="仿宋" w:cs="Times New Roman"/>
                <w:color w:val="auto"/>
                <w:szCs w:val="21"/>
              </w:rPr>
              <w:drawing>
                <wp:inline distT="0" distB="0" distL="114300" distR="114300">
                  <wp:extent cx="2533650" cy="1847850"/>
                  <wp:effectExtent l="0" t="0" r="0" b="0"/>
                  <wp:docPr id="2" name="图片 2" descr="888ecf451a3a2ced5cf975e38af48d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888ecf451a3a2ced5cf975e38af48d83"/>
                          <pic:cNvPicPr>
                            <a:picLocks noChangeAspect="1"/>
                          </pic:cNvPicPr>
                        </pic:nvPicPr>
                        <pic:blipFill>
                          <a:blip r:embed="rId5"/>
                          <a:srcRect t="26575" b="18740"/>
                          <a:stretch>
                            <a:fillRect/>
                          </a:stretch>
                        </pic:blipFill>
                        <pic:spPr>
                          <a:xfrm>
                            <a:off x="0" y="0"/>
                            <a:ext cx="2533650" cy="1847850"/>
                          </a:xfrm>
                          <a:prstGeom prst="rect">
                            <a:avLst/>
                          </a:prstGeom>
                        </pic:spPr>
                      </pic:pic>
                    </a:graphicData>
                  </a:graphic>
                </wp:inline>
              </w:drawing>
            </w:r>
          </w:p>
          <w:p w14:paraId="4B8AFA95">
            <w:pPr>
              <w:jc w:val="center"/>
              <w:rPr>
                <w:rFonts w:hint="eastAsia" w:ascii="仿宋" w:hAnsi="仿宋" w:eastAsia="仿宋" w:cs="Times New Roman"/>
                <w:color w:val="auto"/>
                <w:szCs w:val="21"/>
              </w:rPr>
            </w:pPr>
            <w:r>
              <w:rPr>
                <w:rFonts w:hint="eastAsia" w:ascii="仿宋" w:hAnsi="仿宋" w:eastAsia="仿宋" w:cs="Times New Roman"/>
                <w:color w:val="auto"/>
                <w:szCs w:val="21"/>
              </w:rPr>
              <w:t>长沙铜官窑博物馆黑石号沉船1：1复原模型</w:t>
            </w:r>
          </w:p>
        </w:tc>
      </w:tr>
      <w:tr w14:paraId="126E3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1278" w:type="dxa"/>
            <w:tcBorders>
              <w:top w:val="single" w:color="auto" w:sz="4" w:space="0"/>
              <w:left w:val="single" w:color="auto" w:sz="4" w:space="0"/>
              <w:bottom w:val="single" w:color="auto" w:sz="4" w:space="0"/>
              <w:right w:val="single" w:color="auto" w:sz="4" w:space="0"/>
            </w:tcBorders>
            <w:noWrap/>
            <w:vAlign w:val="center"/>
          </w:tcPr>
          <w:p w14:paraId="48587D63">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船模</w:t>
            </w:r>
          </w:p>
          <w:p w14:paraId="7FD5BEAD">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主材</w:t>
            </w:r>
          </w:p>
          <w:p w14:paraId="05105B49">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说明</w:t>
            </w:r>
          </w:p>
        </w:tc>
        <w:tc>
          <w:tcPr>
            <w:tcW w:w="6823" w:type="dxa"/>
            <w:tcBorders>
              <w:top w:val="single" w:color="auto" w:sz="4" w:space="0"/>
              <w:left w:val="single" w:color="auto" w:sz="4" w:space="0"/>
              <w:bottom w:val="single" w:color="auto" w:sz="4" w:space="0"/>
              <w:right w:val="single" w:color="auto" w:sz="4" w:space="0"/>
            </w:tcBorders>
            <w:noWrap/>
            <w:vAlign w:val="center"/>
          </w:tcPr>
          <w:p w14:paraId="40F907AD">
            <w:pPr>
              <w:jc w:val="left"/>
              <w:rPr>
                <w:rFonts w:hint="eastAsia" w:ascii="仿宋_GB2312" w:hAnsi="宋体" w:eastAsia="仿宋_GB2312" w:cs="Times New Roman"/>
                <w:color w:val="auto"/>
                <w:szCs w:val="21"/>
              </w:rPr>
            </w:pPr>
            <w:r>
              <w:rPr>
                <w:rFonts w:hint="eastAsia" w:ascii="仿宋" w:hAnsi="仿宋" w:eastAsia="仿宋" w:cs="Times New Roman"/>
                <w:color w:val="auto"/>
                <w:szCs w:val="21"/>
              </w:rPr>
              <w:t>参考考古发掘及历史文献复原结果，选取</w:t>
            </w:r>
            <w:r>
              <w:rPr>
                <w:rFonts w:hint="eastAsia" w:ascii="仿宋" w:hAnsi="仿宋" w:eastAsia="仿宋" w:cs="Times New Roman"/>
                <w:color w:val="auto"/>
                <w:szCs w:val="21"/>
                <w:lang w:val="en-US" w:eastAsia="zh-CN"/>
              </w:rPr>
              <w:t>与原船一致的</w:t>
            </w:r>
            <w:r>
              <w:rPr>
                <w:rFonts w:hint="eastAsia" w:ascii="仿宋" w:hAnsi="仿宋" w:eastAsia="仿宋" w:cs="Times New Roman"/>
                <w:color w:val="auto"/>
                <w:szCs w:val="21"/>
              </w:rPr>
              <w:t>稳定耐用、不易形变的天然木料。禁用不符合时代要求的塑料等现代工业用材。</w:t>
            </w:r>
          </w:p>
        </w:tc>
      </w:tr>
      <w:tr w14:paraId="45FB2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3" w:hRule="atLeast"/>
          <w:jc w:val="center"/>
        </w:trPr>
        <w:tc>
          <w:tcPr>
            <w:tcW w:w="1278" w:type="dxa"/>
            <w:tcBorders>
              <w:top w:val="single" w:color="auto" w:sz="4" w:space="0"/>
              <w:left w:val="single" w:color="auto" w:sz="4" w:space="0"/>
              <w:bottom w:val="single" w:color="auto" w:sz="4" w:space="0"/>
              <w:right w:val="single" w:color="auto" w:sz="4" w:space="0"/>
            </w:tcBorders>
            <w:noWrap/>
            <w:vAlign w:val="center"/>
          </w:tcPr>
          <w:p w14:paraId="7D7B416C">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帆装</w:t>
            </w:r>
          </w:p>
          <w:p w14:paraId="24C9F12B">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涂装</w:t>
            </w:r>
          </w:p>
          <w:p w14:paraId="4920878A">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彩绘</w:t>
            </w:r>
          </w:p>
          <w:p w14:paraId="365B07F5">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属具</w:t>
            </w:r>
          </w:p>
          <w:p w14:paraId="6A62C0BF">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说明</w:t>
            </w:r>
          </w:p>
        </w:tc>
        <w:tc>
          <w:tcPr>
            <w:tcW w:w="6823" w:type="dxa"/>
            <w:tcBorders>
              <w:top w:val="single" w:color="auto" w:sz="4" w:space="0"/>
              <w:left w:val="single" w:color="auto" w:sz="4" w:space="0"/>
              <w:bottom w:val="single" w:color="auto" w:sz="4" w:space="0"/>
              <w:right w:val="single" w:color="auto" w:sz="4" w:space="0"/>
            </w:tcBorders>
            <w:noWrap/>
          </w:tcPr>
          <w:p w14:paraId="0B8BDEDA">
            <w:pPr>
              <w:rPr>
                <w:rFonts w:hint="eastAsia" w:ascii="仿宋" w:hAnsi="仿宋" w:eastAsia="仿宋" w:cs="Times New Roman"/>
                <w:color w:val="auto"/>
                <w:szCs w:val="21"/>
              </w:rPr>
            </w:pPr>
            <w:r>
              <w:rPr>
                <w:rFonts w:hint="eastAsia" w:ascii="仿宋" w:hAnsi="仿宋" w:eastAsia="仿宋" w:cs="Times New Roman"/>
                <w:color w:val="auto"/>
                <w:szCs w:val="21"/>
              </w:rPr>
              <w:t>船体细部结构清晰。</w:t>
            </w:r>
          </w:p>
          <w:p w14:paraId="18776055">
            <w:pPr>
              <w:rPr>
                <w:rFonts w:hint="eastAsia" w:ascii="仿宋" w:hAnsi="仿宋" w:eastAsia="仿宋" w:cs="Times New Roman"/>
                <w:color w:val="auto"/>
                <w:szCs w:val="21"/>
              </w:rPr>
            </w:pPr>
            <w:r>
              <w:rPr>
                <w:rFonts w:ascii="仿宋" w:hAnsi="仿宋" w:eastAsia="仿宋" w:cs="Times New Roman"/>
                <w:color w:val="auto"/>
                <w:szCs w:val="21"/>
              </w:rPr>
              <w:t>1、</w:t>
            </w:r>
            <w:r>
              <w:rPr>
                <w:rFonts w:hint="eastAsia" w:ascii="仿宋" w:hAnsi="仿宋" w:eastAsia="仿宋" w:cs="Times New Roman"/>
                <w:color w:val="auto"/>
                <w:szCs w:val="21"/>
              </w:rPr>
              <w:t>帆装：依照考古发掘及历史文献进行合理复原。</w:t>
            </w:r>
          </w:p>
          <w:p w14:paraId="4C2959D2">
            <w:pPr>
              <w:rPr>
                <w:rFonts w:hint="eastAsia" w:ascii="仿宋" w:hAnsi="仿宋" w:eastAsia="仿宋" w:cs="Times New Roman"/>
                <w:color w:val="auto"/>
                <w:szCs w:val="21"/>
              </w:rPr>
            </w:pPr>
            <w:r>
              <w:rPr>
                <w:rFonts w:ascii="仿宋" w:hAnsi="仿宋" w:eastAsia="仿宋" w:cs="Times New Roman"/>
                <w:color w:val="auto"/>
                <w:szCs w:val="21"/>
              </w:rPr>
              <w:t>2、</w:t>
            </w:r>
            <w:r>
              <w:rPr>
                <w:rFonts w:hint="eastAsia" w:ascii="仿宋" w:hAnsi="仿宋" w:eastAsia="仿宋" w:cs="Times New Roman"/>
                <w:color w:val="auto"/>
                <w:szCs w:val="21"/>
              </w:rPr>
              <w:t>涂装：吃水部为白色涂装；</w:t>
            </w:r>
            <w:r>
              <w:rPr>
                <w:rFonts w:ascii="仿宋" w:hAnsi="仿宋" w:eastAsia="仿宋"/>
                <w:color w:val="auto"/>
                <w:szCs w:val="24"/>
              </w:rPr>
              <w:t>干舷为木质原色</w:t>
            </w:r>
            <w:r>
              <w:rPr>
                <w:rFonts w:hint="eastAsia" w:ascii="仿宋" w:hAnsi="仿宋" w:eastAsia="仿宋"/>
                <w:color w:val="auto"/>
                <w:szCs w:val="24"/>
              </w:rPr>
              <w:t>。</w:t>
            </w:r>
          </w:p>
          <w:p w14:paraId="3ACF82CA">
            <w:pPr>
              <w:rPr>
                <w:rFonts w:hint="eastAsia" w:ascii="仿宋" w:hAnsi="仿宋" w:eastAsia="仿宋" w:cs="Times New Roman"/>
                <w:color w:val="auto"/>
                <w:szCs w:val="21"/>
              </w:rPr>
            </w:pPr>
            <w:r>
              <w:rPr>
                <w:rFonts w:ascii="仿宋" w:hAnsi="仿宋" w:eastAsia="仿宋" w:cs="Times New Roman"/>
                <w:color w:val="auto"/>
                <w:szCs w:val="21"/>
              </w:rPr>
              <w:t>3、</w:t>
            </w:r>
            <w:r>
              <w:rPr>
                <w:rFonts w:hint="eastAsia" w:ascii="仿宋" w:hAnsi="仿宋" w:eastAsia="仿宋" w:cs="Times New Roman"/>
                <w:color w:val="auto"/>
                <w:szCs w:val="21"/>
              </w:rPr>
              <w:t>彩绘：无。</w:t>
            </w:r>
          </w:p>
          <w:p w14:paraId="3D270BFB">
            <w:pPr>
              <w:rPr>
                <w:rFonts w:hint="eastAsia" w:ascii="仿宋" w:hAnsi="仿宋" w:eastAsia="仿宋" w:cs="Times New Roman"/>
                <w:color w:val="auto"/>
                <w:szCs w:val="21"/>
              </w:rPr>
            </w:pPr>
            <w:r>
              <w:rPr>
                <w:rFonts w:ascii="仿宋" w:hAnsi="仿宋" w:eastAsia="仿宋" w:cs="Times New Roman"/>
                <w:color w:val="auto"/>
                <w:szCs w:val="21"/>
              </w:rPr>
              <w:t>4、</w:t>
            </w:r>
            <w:r>
              <w:rPr>
                <w:rFonts w:hint="eastAsia" w:ascii="仿宋" w:hAnsi="仿宋" w:eastAsia="仿宋" w:cs="Times New Roman"/>
                <w:color w:val="auto"/>
                <w:szCs w:val="21"/>
              </w:rPr>
              <w:t>属具：属具配备上不使用化纤等不符合时代要求的现代制品。</w:t>
            </w:r>
          </w:p>
        </w:tc>
      </w:tr>
    </w:tbl>
    <w:p w14:paraId="42249821">
      <w:pPr>
        <w:rPr>
          <w:rFonts w:ascii="Calibri" w:hAnsi="Calibri"/>
          <w:color w:val="auto"/>
          <w:szCs w:val="24"/>
        </w:rPr>
      </w:pPr>
    </w:p>
    <w:tbl>
      <w:tblPr>
        <w:tblStyle w:val="12"/>
        <w:tblW w:w="81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8"/>
        <w:gridCol w:w="7152"/>
      </w:tblGrid>
      <w:tr w14:paraId="4A1FC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8160" w:type="dxa"/>
            <w:gridSpan w:val="2"/>
            <w:noWrap/>
            <w:vAlign w:val="center"/>
          </w:tcPr>
          <w:p w14:paraId="77432BD2">
            <w:pPr>
              <w:jc w:val="center"/>
              <w:rPr>
                <w:rFonts w:hint="eastAsia" w:ascii="仿宋" w:hAnsi="仿宋" w:eastAsia="仿宋" w:cs="Times New Roman"/>
                <w:color w:val="auto"/>
                <w:szCs w:val="21"/>
              </w:rPr>
            </w:pPr>
            <w:r>
              <w:rPr>
                <w:rFonts w:hint="eastAsia" w:ascii="仿宋_GB2312" w:hAnsi="仿宋_GB2312" w:eastAsia="仿宋_GB2312" w:cs="仿宋_GB2312"/>
                <w:color w:val="auto"/>
                <w:sz w:val="28"/>
                <w:szCs w:val="28"/>
              </w:rPr>
              <w:t>项目4：</w:t>
            </w:r>
            <w:r>
              <w:rPr>
                <w:rFonts w:hint="eastAsia" w:ascii="仿宋_GB2312" w:hAnsi="宋体" w:eastAsia="仿宋_GB2312" w:cs="Times New Roman"/>
                <w:color w:val="auto"/>
                <w:sz w:val="28"/>
                <w:szCs w:val="28"/>
              </w:rPr>
              <w:t>哥德堡号沉船模型</w:t>
            </w:r>
          </w:p>
        </w:tc>
      </w:tr>
      <w:tr w14:paraId="61590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4" w:hRule="atLeast"/>
          <w:jc w:val="center"/>
        </w:trPr>
        <w:tc>
          <w:tcPr>
            <w:tcW w:w="1008" w:type="dxa"/>
            <w:noWrap/>
            <w:vAlign w:val="center"/>
          </w:tcPr>
          <w:p w14:paraId="602894B6">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尺寸</w:t>
            </w:r>
          </w:p>
          <w:p w14:paraId="79F56CAA">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工艺</w:t>
            </w:r>
          </w:p>
          <w:p w14:paraId="00ED15AF">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说明</w:t>
            </w:r>
          </w:p>
        </w:tc>
        <w:tc>
          <w:tcPr>
            <w:tcW w:w="7152" w:type="dxa"/>
          </w:tcPr>
          <w:p w14:paraId="07A36E8C">
            <w:pPr>
              <w:jc w:val="left"/>
              <w:rPr>
                <w:rFonts w:hint="eastAsia" w:ascii="仿宋" w:hAnsi="仿宋" w:eastAsia="仿宋" w:cs="Times New Roman"/>
                <w:color w:val="auto"/>
                <w:szCs w:val="21"/>
              </w:rPr>
            </w:pPr>
            <w:r>
              <w:rPr>
                <w:rFonts w:hint="eastAsia" w:ascii="仿宋" w:hAnsi="仿宋" w:eastAsia="仿宋" w:cs="Times New Roman"/>
                <w:color w:val="auto"/>
                <w:szCs w:val="21"/>
              </w:rPr>
              <w:t>模型全长1.8米左右。船体构件细部与衔接清晰准确，比例科学准确。</w:t>
            </w:r>
          </w:p>
          <w:p w14:paraId="0303F803">
            <w:pPr>
              <w:rPr>
                <w:rFonts w:hint="eastAsia" w:ascii="仿宋" w:hAnsi="仿宋" w:eastAsia="仿宋" w:cs="Times New Roman"/>
                <w:color w:val="auto"/>
                <w:szCs w:val="21"/>
              </w:rPr>
            </w:pPr>
            <w:r>
              <w:rPr>
                <w:rFonts w:hint="eastAsia" w:ascii="仿宋" w:hAnsi="仿宋" w:eastAsia="仿宋" w:cs="Times New Roman"/>
                <w:color w:val="auto"/>
                <w:szCs w:val="21"/>
              </w:rPr>
              <w:t>备注：哥德堡号沉船系18世纪瑞典东印度公司的贸易船，1984年瑞典对其进行了水下考古发掘。该模型需参考考古发现，准确还原哥德堡号外观风貌。</w:t>
            </w:r>
          </w:p>
        </w:tc>
      </w:tr>
      <w:tr w14:paraId="29472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4" w:hRule="atLeast"/>
          <w:jc w:val="center"/>
        </w:trPr>
        <w:tc>
          <w:tcPr>
            <w:tcW w:w="1008" w:type="dxa"/>
            <w:noWrap/>
            <w:vAlign w:val="center"/>
          </w:tcPr>
          <w:p w14:paraId="0C3CD4E7">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参考图</w:t>
            </w:r>
          </w:p>
        </w:tc>
        <w:tc>
          <w:tcPr>
            <w:tcW w:w="7152" w:type="dxa"/>
          </w:tcPr>
          <w:p w14:paraId="08ED2055">
            <w:pPr>
              <w:jc w:val="center"/>
              <w:rPr>
                <w:rFonts w:hint="eastAsia" w:ascii="仿宋" w:hAnsi="仿宋" w:eastAsia="仿宋" w:cs="Times New Roman"/>
                <w:color w:val="auto"/>
                <w:szCs w:val="21"/>
              </w:rPr>
            </w:pPr>
          </w:p>
          <w:p w14:paraId="5A1F9D62">
            <w:pPr>
              <w:jc w:val="center"/>
              <w:rPr>
                <w:rFonts w:hint="eastAsia" w:ascii="仿宋" w:hAnsi="仿宋" w:eastAsia="仿宋" w:cs="Times New Roman"/>
                <w:color w:val="auto"/>
                <w:szCs w:val="21"/>
              </w:rPr>
            </w:pPr>
          </w:p>
          <w:p w14:paraId="6AD437B9">
            <w:pPr>
              <w:jc w:val="center"/>
              <w:rPr>
                <w:rFonts w:hint="eastAsia" w:ascii="仿宋" w:hAnsi="仿宋" w:eastAsia="仿宋" w:cs="Times New Roman"/>
                <w:color w:val="auto"/>
                <w:szCs w:val="21"/>
              </w:rPr>
            </w:pPr>
            <w:r>
              <w:rPr>
                <w:rFonts w:hint="eastAsia" w:ascii="仿宋" w:hAnsi="仿宋" w:eastAsia="仿宋" w:cs="Times New Roman"/>
                <w:color w:val="auto"/>
                <w:szCs w:val="21"/>
              </w:rPr>
              <w:drawing>
                <wp:inline distT="0" distB="0" distL="114300" distR="114300">
                  <wp:extent cx="1990725" cy="1739900"/>
                  <wp:effectExtent l="0" t="0" r="12700" b="9525"/>
                  <wp:docPr id="4" name="图片 4" descr="76942a2d26e667886b606d6a4fb82dc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76942a2d26e667886b606d6a4fb82dc2"/>
                          <pic:cNvPicPr>
                            <a:picLocks noChangeAspect="1"/>
                          </pic:cNvPicPr>
                        </pic:nvPicPr>
                        <pic:blipFill>
                          <a:blip r:embed="rId6"/>
                          <a:srcRect r="14127"/>
                          <a:stretch>
                            <a:fillRect/>
                          </a:stretch>
                        </pic:blipFill>
                        <pic:spPr>
                          <a:xfrm rot="5400000">
                            <a:off x="0" y="0"/>
                            <a:ext cx="1990725" cy="1739900"/>
                          </a:xfrm>
                          <a:prstGeom prst="rect">
                            <a:avLst/>
                          </a:prstGeom>
                        </pic:spPr>
                      </pic:pic>
                    </a:graphicData>
                  </a:graphic>
                </wp:inline>
              </w:drawing>
            </w:r>
          </w:p>
          <w:p w14:paraId="7BCA5A23">
            <w:pPr>
              <w:jc w:val="center"/>
              <w:rPr>
                <w:rFonts w:hint="eastAsia" w:ascii="仿宋" w:hAnsi="仿宋" w:eastAsia="仿宋" w:cs="Times New Roman"/>
                <w:color w:val="auto"/>
                <w:szCs w:val="21"/>
              </w:rPr>
            </w:pPr>
          </w:p>
          <w:p w14:paraId="53A7444B">
            <w:pPr>
              <w:jc w:val="center"/>
              <w:rPr>
                <w:rFonts w:hint="eastAsia" w:ascii="仿宋" w:hAnsi="仿宋" w:eastAsia="仿宋" w:cs="Times New Roman"/>
                <w:color w:val="auto"/>
                <w:szCs w:val="21"/>
              </w:rPr>
            </w:pPr>
            <w:r>
              <w:rPr>
                <w:rFonts w:hint="eastAsia" w:ascii="仿宋" w:hAnsi="仿宋" w:eastAsia="仿宋" w:cs="Times New Roman"/>
                <w:color w:val="auto"/>
                <w:szCs w:val="21"/>
              </w:rPr>
              <w:t>广州十三行博物馆藏哥德堡号沉船模型</w:t>
            </w:r>
          </w:p>
        </w:tc>
      </w:tr>
      <w:tr w14:paraId="0EB94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1" w:hRule="atLeast"/>
          <w:jc w:val="center"/>
        </w:trPr>
        <w:tc>
          <w:tcPr>
            <w:tcW w:w="1008" w:type="dxa"/>
            <w:noWrap/>
            <w:vAlign w:val="center"/>
          </w:tcPr>
          <w:p w14:paraId="74E2AB9F">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船</w:t>
            </w:r>
            <w:r>
              <w:rPr>
                <w:rFonts w:hint="eastAsia" w:ascii="Calibri" w:hAnsi="Calibri" w:eastAsia="仿宋_GB2312" w:cs="Calibri"/>
                <w:color w:val="auto"/>
                <w:szCs w:val="21"/>
              </w:rPr>
              <w:t>模</w:t>
            </w:r>
          </w:p>
          <w:p w14:paraId="5139BA4F">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主材</w:t>
            </w:r>
          </w:p>
          <w:p w14:paraId="2A768803">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说明</w:t>
            </w:r>
          </w:p>
        </w:tc>
        <w:tc>
          <w:tcPr>
            <w:tcW w:w="7152" w:type="dxa"/>
            <w:vAlign w:val="center"/>
          </w:tcPr>
          <w:p w14:paraId="33A1E2BC">
            <w:pPr>
              <w:rPr>
                <w:rFonts w:hint="eastAsia" w:ascii="仿宋_GB2312" w:hAnsi="宋体" w:eastAsia="仿宋_GB2312" w:cs="Times New Roman"/>
                <w:color w:val="auto"/>
                <w:szCs w:val="21"/>
              </w:rPr>
            </w:pPr>
            <w:r>
              <w:rPr>
                <w:rFonts w:hint="eastAsia" w:ascii="仿宋" w:hAnsi="仿宋" w:eastAsia="仿宋" w:cs="Times New Roman"/>
                <w:color w:val="auto"/>
                <w:szCs w:val="21"/>
              </w:rPr>
              <w:t>参考考古发现及文献资料，选取</w:t>
            </w:r>
            <w:r>
              <w:rPr>
                <w:rFonts w:hint="eastAsia" w:ascii="仿宋" w:hAnsi="仿宋" w:eastAsia="仿宋" w:cs="Times New Roman"/>
                <w:color w:val="auto"/>
                <w:szCs w:val="21"/>
                <w:lang w:val="en-US" w:eastAsia="zh-CN"/>
              </w:rPr>
              <w:t>与原船一致的</w:t>
            </w:r>
            <w:r>
              <w:rPr>
                <w:rFonts w:hint="eastAsia" w:ascii="仿宋" w:hAnsi="仿宋" w:eastAsia="仿宋" w:cs="Times New Roman"/>
                <w:color w:val="auto"/>
                <w:szCs w:val="21"/>
              </w:rPr>
              <w:t>稳定耐用、不易形变的天然木料。禁用不符合时代要求的塑料等现代工业用材。</w:t>
            </w:r>
          </w:p>
        </w:tc>
      </w:tr>
      <w:tr w14:paraId="6E924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4" w:hRule="atLeast"/>
          <w:jc w:val="center"/>
        </w:trPr>
        <w:tc>
          <w:tcPr>
            <w:tcW w:w="1008" w:type="dxa"/>
            <w:noWrap/>
            <w:vAlign w:val="center"/>
          </w:tcPr>
          <w:p w14:paraId="2BC36E3F">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帆装</w:t>
            </w:r>
          </w:p>
          <w:p w14:paraId="0C9E210B">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涂装</w:t>
            </w:r>
          </w:p>
          <w:p w14:paraId="2505B3A1">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彩绘</w:t>
            </w:r>
          </w:p>
          <w:p w14:paraId="74990195">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属具</w:t>
            </w:r>
          </w:p>
          <w:p w14:paraId="33EF7BEB">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说明</w:t>
            </w:r>
          </w:p>
        </w:tc>
        <w:tc>
          <w:tcPr>
            <w:tcW w:w="7152" w:type="dxa"/>
          </w:tcPr>
          <w:p w14:paraId="691AEA36">
            <w:pPr>
              <w:rPr>
                <w:rFonts w:hint="eastAsia" w:ascii="仿宋" w:hAnsi="仿宋" w:eastAsia="仿宋" w:cs="Times New Roman"/>
                <w:color w:val="auto"/>
                <w:szCs w:val="21"/>
              </w:rPr>
            </w:pPr>
            <w:r>
              <w:rPr>
                <w:rFonts w:hint="eastAsia" w:ascii="仿宋" w:hAnsi="仿宋" w:eastAsia="仿宋" w:cs="Times New Roman"/>
                <w:color w:val="auto"/>
                <w:szCs w:val="21"/>
              </w:rPr>
              <w:t>船体细部结构清晰。</w:t>
            </w:r>
          </w:p>
          <w:p w14:paraId="1393E12C">
            <w:pPr>
              <w:rPr>
                <w:rFonts w:hint="eastAsia" w:ascii="仿宋" w:hAnsi="仿宋" w:eastAsia="仿宋" w:cs="Times New Roman"/>
                <w:color w:val="auto"/>
                <w:szCs w:val="21"/>
              </w:rPr>
            </w:pPr>
            <w:r>
              <w:rPr>
                <w:rFonts w:hint="eastAsia" w:ascii="仿宋" w:hAnsi="仿宋" w:eastAsia="仿宋" w:cs="Times New Roman"/>
                <w:color w:val="auto"/>
                <w:szCs w:val="21"/>
              </w:rPr>
              <w:t>帆装：布帆。</w:t>
            </w:r>
          </w:p>
          <w:p w14:paraId="764832F9">
            <w:pPr>
              <w:rPr>
                <w:rFonts w:hint="eastAsia" w:ascii="仿宋" w:hAnsi="仿宋" w:eastAsia="仿宋" w:cs="Times New Roman"/>
                <w:color w:val="auto"/>
                <w:szCs w:val="21"/>
              </w:rPr>
            </w:pPr>
            <w:r>
              <w:rPr>
                <w:rFonts w:hint="eastAsia" w:ascii="仿宋" w:hAnsi="仿宋" w:eastAsia="仿宋" w:cs="Times New Roman"/>
                <w:color w:val="auto"/>
                <w:szCs w:val="21"/>
              </w:rPr>
              <w:t>涂装：</w:t>
            </w:r>
            <w:r>
              <w:rPr>
                <w:rFonts w:ascii="仿宋" w:hAnsi="仿宋" w:eastAsia="仿宋" w:cs="Times New Roman"/>
                <w:color w:val="auto"/>
                <w:szCs w:val="21"/>
              </w:rPr>
              <w:t>吃水部分为白色，吃水线至甲板线间的船体部分保持橡木材质原色，舷墙外侧为蓝色，舷墙内侧为白色。桅杆及横桁为中黄色</w:t>
            </w:r>
            <w:r>
              <w:rPr>
                <w:rFonts w:hint="eastAsia" w:ascii="仿宋" w:hAnsi="仿宋" w:eastAsia="仿宋" w:cs="Times New Roman"/>
                <w:color w:val="auto"/>
                <w:szCs w:val="21"/>
              </w:rPr>
              <w:t>。</w:t>
            </w:r>
          </w:p>
          <w:p w14:paraId="3B838BC7">
            <w:pPr>
              <w:rPr>
                <w:rFonts w:hint="eastAsia" w:ascii="仿宋" w:hAnsi="仿宋" w:eastAsia="仿宋" w:cs="Times New Roman"/>
                <w:color w:val="auto"/>
                <w:szCs w:val="21"/>
              </w:rPr>
            </w:pPr>
            <w:r>
              <w:rPr>
                <w:rFonts w:hint="eastAsia" w:ascii="仿宋" w:hAnsi="仿宋" w:eastAsia="仿宋" w:cs="Times New Roman"/>
                <w:color w:val="auto"/>
                <w:szCs w:val="21"/>
              </w:rPr>
              <w:t>彩绘：依照考古发掘</w:t>
            </w:r>
            <w:bookmarkStart w:id="69" w:name="OLE_LINK7"/>
            <w:r>
              <w:rPr>
                <w:rFonts w:hint="eastAsia" w:ascii="仿宋" w:hAnsi="仿宋" w:eastAsia="仿宋" w:cs="Times New Roman"/>
                <w:color w:val="auto"/>
                <w:szCs w:val="21"/>
              </w:rPr>
              <w:t>及历史文献</w:t>
            </w:r>
            <w:bookmarkEnd w:id="69"/>
            <w:r>
              <w:rPr>
                <w:rFonts w:hint="eastAsia" w:ascii="仿宋" w:hAnsi="仿宋" w:eastAsia="仿宋" w:cs="Times New Roman"/>
                <w:color w:val="auto"/>
                <w:szCs w:val="21"/>
              </w:rPr>
              <w:t>进行复原。</w:t>
            </w:r>
          </w:p>
          <w:p w14:paraId="0FCF05BE">
            <w:pPr>
              <w:rPr>
                <w:rFonts w:hint="eastAsia" w:ascii="仿宋_GB2312" w:hAnsi="宋体" w:eastAsia="仿宋_GB2312" w:cs="Times New Roman"/>
                <w:color w:val="auto"/>
                <w:szCs w:val="21"/>
              </w:rPr>
            </w:pPr>
            <w:r>
              <w:rPr>
                <w:rFonts w:hint="eastAsia" w:ascii="仿宋" w:hAnsi="仿宋" w:eastAsia="仿宋" w:cs="Times New Roman"/>
                <w:color w:val="auto"/>
                <w:szCs w:val="21"/>
              </w:rPr>
              <w:t>属具：属具配备上不使用化纤等不符合时代要求的现代制品。</w:t>
            </w:r>
          </w:p>
        </w:tc>
      </w:tr>
    </w:tbl>
    <w:p w14:paraId="7E49A12F">
      <w:pPr>
        <w:widowControl/>
        <w:jc w:val="left"/>
        <w:rPr>
          <w:rFonts w:ascii="仿宋_GB2312" w:hAnsi="Calibri" w:eastAsia="仿宋_GB2312" w:cs="Times New Roman"/>
          <w:color w:val="auto"/>
          <w:szCs w:val="21"/>
        </w:rPr>
      </w:pPr>
    </w:p>
    <w:tbl>
      <w:tblPr>
        <w:tblStyle w:val="12"/>
        <w:tblW w:w="81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0"/>
        <w:gridCol w:w="7158"/>
      </w:tblGrid>
      <w:tr w14:paraId="516F8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8178" w:type="dxa"/>
            <w:gridSpan w:val="2"/>
            <w:noWrap/>
            <w:vAlign w:val="center"/>
          </w:tcPr>
          <w:p w14:paraId="16277057">
            <w:pPr>
              <w:jc w:val="center"/>
              <w:rPr>
                <w:rFonts w:hint="eastAsia" w:ascii="仿宋" w:hAnsi="仿宋" w:eastAsia="仿宋" w:cs="Times New Roman"/>
                <w:color w:val="auto"/>
                <w:szCs w:val="21"/>
              </w:rPr>
            </w:pPr>
            <w:r>
              <w:rPr>
                <w:rFonts w:hint="eastAsia" w:ascii="仿宋_GB2312" w:hAnsi="仿宋_GB2312" w:eastAsia="仿宋_GB2312" w:cs="仿宋_GB2312"/>
                <w:color w:val="auto"/>
                <w:sz w:val="28"/>
                <w:szCs w:val="28"/>
              </w:rPr>
              <w:t>项目5：</w:t>
            </w:r>
            <w:r>
              <w:rPr>
                <w:rFonts w:hint="eastAsia" w:ascii="仿宋_GB2312" w:hAnsi="宋体" w:eastAsia="仿宋_GB2312" w:cs="Times New Roman"/>
                <w:color w:val="auto"/>
                <w:sz w:val="28"/>
                <w:szCs w:val="28"/>
              </w:rPr>
              <w:t>圣·迭戈号沉船模型</w:t>
            </w:r>
          </w:p>
        </w:tc>
      </w:tr>
      <w:tr w14:paraId="61950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9" w:hRule="atLeast"/>
          <w:jc w:val="center"/>
        </w:trPr>
        <w:tc>
          <w:tcPr>
            <w:tcW w:w="1020" w:type="dxa"/>
            <w:noWrap/>
            <w:vAlign w:val="center"/>
          </w:tcPr>
          <w:p w14:paraId="3392DB4D">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尺寸</w:t>
            </w:r>
          </w:p>
          <w:p w14:paraId="47B44277">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工艺</w:t>
            </w:r>
          </w:p>
          <w:p w14:paraId="0E17F06F">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说明</w:t>
            </w:r>
          </w:p>
        </w:tc>
        <w:tc>
          <w:tcPr>
            <w:tcW w:w="7158" w:type="dxa"/>
          </w:tcPr>
          <w:p w14:paraId="30E3B3B2">
            <w:pPr>
              <w:rPr>
                <w:rFonts w:hint="eastAsia" w:ascii="仿宋" w:hAnsi="仿宋" w:eastAsia="仿宋" w:cs="Times New Roman"/>
                <w:color w:val="auto"/>
                <w:szCs w:val="21"/>
              </w:rPr>
            </w:pPr>
            <w:r>
              <w:rPr>
                <w:rFonts w:hint="eastAsia" w:ascii="仿宋" w:hAnsi="仿宋" w:eastAsia="仿宋" w:cs="Times New Roman"/>
                <w:color w:val="auto"/>
                <w:szCs w:val="21"/>
              </w:rPr>
              <w:t>模型全长1.6米左右。船体构件细部与衔接清晰准确，比例科学准确。</w:t>
            </w:r>
          </w:p>
          <w:p w14:paraId="0FFD3FB5">
            <w:pPr>
              <w:rPr>
                <w:rFonts w:hint="eastAsia" w:ascii="仿宋" w:hAnsi="仿宋" w:eastAsia="仿宋" w:cs="Times New Roman"/>
                <w:color w:val="auto"/>
                <w:szCs w:val="21"/>
              </w:rPr>
            </w:pPr>
            <w:r>
              <w:rPr>
                <w:rFonts w:hint="eastAsia" w:ascii="仿宋" w:hAnsi="仿宋" w:eastAsia="仿宋" w:cs="Times New Roman"/>
                <w:color w:val="auto"/>
                <w:szCs w:val="21"/>
              </w:rPr>
              <w:t>备注：</w:t>
            </w:r>
            <w:bookmarkStart w:id="70" w:name="OLE_LINK1"/>
            <w:r>
              <w:rPr>
                <w:rFonts w:hint="eastAsia" w:ascii="仿宋" w:hAnsi="仿宋" w:eastAsia="仿宋" w:cs="Times New Roman"/>
                <w:color w:val="auto"/>
                <w:szCs w:val="21"/>
              </w:rPr>
              <w:t>该模型需以菲律宾国家博物馆藏的圣·迭戈号沉船为原型</w:t>
            </w:r>
            <w:bookmarkEnd w:id="70"/>
            <w:r>
              <w:rPr>
                <w:rFonts w:hint="eastAsia" w:ascii="仿宋" w:hAnsi="仿宋" w:eastAsia="仿宋" w:cs="Times New Roman"/>
                <w:color w:val="auto"/>
                <w:szCs w:val="21"/>
              </w:rPr>
              <w:t>，参考考古发掘及文献资料，准确还原圣·迭戈号沉船的外观风貌。帆船上装饰的圆雕、浮雕应有体现，以手工精雕为优。</w:t>
            </w:r>
          </w:p>
        </w:tc>
      </w:tr>
      <w:tr w14:paraId="3C34D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1" w:hRule="atLeast"/>
          <w:jc w:val="center"/>
        </w:trPr>
        <w:tc>
          <w:tcPr>
            <w:tcW w:w="1020" w:type="dxa"/>
            <w:noWrap/>
            <w:vAlign w:val="center"/>
          </w:tcPr>
          <w:p w14:paraId="522E83B0">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船</w:t>
            </w:r>
            <w:r>
              <w:rPr>
                <w:rFonts w:hint="eastAsia" w:ascii="Calibri" w:hAnsi="Calibri" w:eastAsia="仿宋_GB2312" w:cs="Calibri"/>
                <w:color w:val="auto"/>
                <w:szCs w:val="21"/>
              </w:rPr>
              <w:t>模</w:t>
            </w:r>
          </w:p>
          <w:p w14:paraId="19AD8267">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主材</w:t>
            </w:r>
          </w:p>
          <w:p w14:paraId="42C36FB0">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说明</w:t>
            </w:r>
          </w:p>
        </w:tc>
        <w:tc>
          <w:tcPr>
            <w:tcW w:w="7158" w:type="dxa"/>
            <w:vAlign w:val="center"/>
          </w:tcPr>
          <w:p w14:paraId="674886B6">
            <w:pPr>
              <w:rPr>
                <w:rFonts w:hint="eastAsia" w:ascii="仿宋" w:hAnsi="仿宋" w:eastAsia="仿宋" w:cs="Times New Roman"/>
                <w:color w:val="auto"/>
                <w:szCs w:val="21"/>
              </w:rPr>
            </w:pPr>
            <w:r>
              <w:rPr>
                <w:rFonts w:hint="eastAsia" w:ascii="仿宋" w:hAnsi="仿宋" w:eastAsia="仿宋" w:cs="Times New Roman"/>
                <w:color w:val="auto"/>
                <w:szCs w:val="21"/>
              </w:rPr>
              <w:t>参考考古发现及文献资料，选取</w:t>
            </w:r>
            <w:r>
              <w:rPr>
                <w:rFonts w:hint="eastAsia" w:ascii="仿宋" w:hAnsi="仿宋" w:eastAsia="仿宋" w:cs="Times New Roman"/>
                <w:color w:val="auto"/>
                <w:szCs w:val="21"/>
                <w:lang w:val="en-US" w:eastAsia="zh-CN"/>
              </w:rPr>
              <w:t>与原船一致的</w:t>
            </w:r>
            <w:r>
              <w:rPr>
                <w:rFonts w:hint="eastAsia" w:ascii="仿宋" w:hAnsi="仿宋" w:eastAsia="仿宋" w:cs="Times New Roman"/>
                <w:color w:val="auto"/>
                <w:szCs w:val="21"/>
              </w:rPr>
              <w:t>稳定耐用、不易形变的天然木料。禁用不符合时代要求的塑料等现代工业用材。</w:t>
            </w:r>
          </w:p>
        </w:tc>
      </w:tr>
      <w:tr w14:paraId="736FA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1020" w:type="dxa"/>
            <w:noWrap/>
            <w:vAlign w:val="center"/>
          </w:tcPr>
          <w:p w14:paraId="1924094A">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帆装</w:t>
            </w:r>
          </w:p>
          <w:p w14:paraId="2338E8C8">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涂装</w:t>
            </w:r>
          </w:p>
          <w:p w14:paraId="6A412A37">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彩绘</w:t>
            </w:r>
          </w:p>
          <w:p w14:paraId="18682B29">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属具</w:t>
            </w:r>
          </w:p>
          <w:p w14:paraId="6B47AA8C">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说明</w:t>
            </w:r>
          </w:p>
        </w:tc>
        <w:tc>
          <w:tcPr>
            <w:tcW w:w="7158" w:type="dxa"/>
          </w:tcPr>
          <w:p w14:paraId="28CFCE12">
            <w:pPr>
              <w:rPr>
                <w:rFonts w:hint="eastAsia" w:ascii="仿宋" w:hAnsi="仿宋" w:eastAsia="仿宋" w:cs="Times New Roman"/>
                <w:color w:val="auto"/>
                <w:szCs w:val="21"/>
              </w:rPr>
            </w:pPr>
            <w:r>
              <w:rPr>
                <w:rFonts w:hint="eastAsia" w:ascii="仿宋" w:hAnsi="仿宋" w:eastAsia="仿宋" w:cs="Times New Roman"/>
                <w:color w:val="auto"/>
                <w:szCs w:val="21"/>
              </w:rPr>
              <w:t>船体细部结构清晰。</w:t>
            </w:r>
          </w:p>
          <w:p w14:paraId="549FD4A5">
            <w:pPr>
              <w:rPr>
                <w:rFonts w:hint="eastAsia" w:ascii="仿宋" w:hAnsi="仿宋" w:eastAsia="仿宋" w:cs="Times New Roman"/>
                <w:color w:val="auto"/>
                <w:szCs w:val="21"/>
              </w:rPr>
            </w:pPr>
            <w:r>
              <w:rPr>
                <w:rFonts w:hint="eastAsia" w:ascii="仿宋" w:hAnsi="仿宋" w:eastAsia="仿宋" w:cs="Times New Roman"/>
                <w:color w:val="auto"/>
                <w:szCs w:val="21"/>
              </w:rPr>
              <w:t>帆装：布帆。</w:t>
            </w:r>
          </w:p>
          <w:p w14:paraId="3D759D35">
            <w:pPr>
              <w:rPr>
                <w:rFonts w:hint="eastAsia" w:ascii="仿宋" w:hAnsi="仿宋" w:eastAsia="仿宋" w:cs="Times New Roman"/>
                <w:color w:val="auto"/>
                <w:szCs w:val="21"/>
              </w:rPr>
            </w:pPr>
            <w:r>
              <w:rPr>
                <w:rFonts w:hint="eastAsia" w:ascii="仿宋" w:hAnsi="仿宋" w:eastAsia="仿宋" w:cs="Times New Roman"/>
                <w:color w:val="auto"/>
                <w:szCs w:val="21"/>
              </w:rPr>
              <w:t>涂装：采用木蜡油进行涂装和木材封护。</w:t>
            </w:r>
          </w:p>
          <w:p w14:paraId="3E777AEF">
            <w:pPr>
              <w:rPr>
                <w:rFonts w:hint="eastAsia" w:ascii="仿宋" w:hAnsi="仿宋" w:eastAsia="仿宋" w:cs="Times New Roman"/>
                <w:color w:val="auto"/>
                <w:szCs w:val="21"/>
              </w:rPr>
            </w:pPr>
            <w:r>
              <w:rPr>
                <w:rFonts w:hint="eastAsia" w:ascii="仿宋" w:hAnsi="仿宋" w:eastAsia="仿宋" w:cs="Times New Roman"/>
                <w:color w:val="auto"/>
                <w:szCs w:val="21"/>
              </w:rPr>
              <w:t>彩绘：参考原型船样式。</w:t>
            </w:r>
          </w:p>
          <w:p w14:paraId="51DEA81E">
            <w:pPr>
              <w:rPr>
                <w:rFonts w:hint="eastAsia" w:ascii="仿宋_GB2312" w:hAnsi="宋体" w:eastAsia="仿宋_GB2312" w:cs="Times New Roman"/>
                <w:color w:val="auto"/>
                <w:szCs w:val="21"/>
              </w:rPr>
            </w:pPr>
            <w:r>
              <w:rPr>
                <w:rFonts w:hint="eastAsia" w:ascii="仿宋" w:hAnsi="仿宋" w:eastAsia="仿宋" w:cs="Times New Roman"/>
                <w:color w:val="auto"/>
                <w:szCs w:val="21"/>
              </w:rPr>
              <w:t>属具：</w:t>
            </w:r>
            <w:bookmarkStart w:id="71" w:name="OLE_LINK5"/>
            <w:r>
              <w:rPr>
                <w:rFonts w:hint="eastAsia" w:ascii="仿宋" w:hAnsi="仿宋" w:eastAsia="仿宋" w:cs="Times New Roman"/>
                <w:color w:val="auto"/>
                <w:szCs w:val="21"/>
              </w:rPr>
              <w:t>属具配备上不使用化纤等不符合时代要求的现代制品。</w:t>
            </w:r>
            <w:bookmarkEnd w:id="71"/>
          </w:p>
        </w:tc>
      </w:tr>
    </w:tbl>
    <w:p w14:paraId="319AC91F">
      <w:pPr>
        <w:widowControl/>
        <w:jc w:val="left"/>
        <w:rPr>
          <w:rFonts w:ascii="仿宋_GB2312" w:hAnsi="Calibri" w:eastAsia="仿宋_GB2312" w:cs="Times New Roman"/>
          <w:color w:val="auto"/>
          <w:szCs w:val="21"/>
        </w:rPr>
      </w:pPr>
    </w:p>
    <w:tbl>
      <w:tblPr>
        <w:tblStyle w:val="12"/>
        <w:tblW w:w="82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0"/>
        <w:gridCol w:w="7161"/>
      </w:tblGrid>
      <w:tr w14:paraId="77B52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8211" w:type="dxa"/>
            <w:gridSpan w:val="2"/>
            <w:noWrap/>
            <w:vAlign w:val="center"/>
          </w:tcPr>
          <w:p w14:paraId="72CBB2A8">
            <w:pPr>
              <w:jc w:val="center"/>
              <w:rPr>
                <w:rFonts w:hint="eastAsia" w:ascii="仿宋" w:hAnsi="仿宋" w:eastAsia="仿宋" w:cs="Times New Roman"/>
                <w:color w:val="auto"/>
                <w:szCs w:val="21"/>
              </w:rPr>
            </w:pPr>
            <w:r>
              <w:rPr>
                <w:rFonts w:hint="eastAsia" w:ascii="仿宋_GB2312" w:hAnsi="仿宋_GB2312" w:eastAsia="仿宋_GB2312" w:cs="仿宋_GB2312"/>
                <w:color w:val="auto"/>
                <w:sz w:val="28"/>
                <w:szCs w:val="28"/>
              </w:rPr>
              <w:t>项目6：</w:t>
            </w:r>
            <w:bookmarkStart w:id="72" w:name="OLE_LINK9"/>
            <w:r>
              <w:rPr>
                <w:rFonts w:hint="eastAsia" w:ascii="仿宋_GB2312" w:hAnsi="宋体" w:eastAsia="仿宋_GB2312" w:cs="Times New Roman"/>
                <w:color w:val="auto"/>
                <w:sz w:val="28"/>
                <w:szCs w:val="28"/>
              </w:rPr>
              <w:t>泰兴号沉船</w:t>
            </w:r>
            <w:bookmarkEnd w:id="72"/>
            <w:r>
              <w:rPr>
                <w:rFonts w:hint="eastAsia" w:ascii="仿宋_GB2312" w:hAnsi="宋体" w:eastAsia="仿宋_GB2312" w:cs="Times New Roman"/>
                <w:color w:val="auto"/>
                <w:sz w:val="28"/>
                <w:szCs w:val="28"/>
              </w:rPr>
              <w:t>模型</w:t>
            </w:r>
          </w:p>
        </w:tc>
      </w:tr>
      <w:tr w14:paraId="46996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6" w:hRule="atLeast"/>
          <w:jc w:val="center"/>
        </w:trPr>
        <w:tc>
          <w:tcPr>
            <w:tcW w:w="1050" w:type="dxa"/>
            <w:noWrap/>
            <w:vAlign w:val="center"/>
          </w:tcPr>
          <w:p w14:paraId="5F21DF6F">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尺寸</w:t>
            </w:r>
          </w:p>
          <w:p w14:paraId="6EA1E881">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工艺</w:t>
            </w:r>
          </w:p>
          <w:p w14:paraId="26432814">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说明</w:t>
            </w:r>
          </w:p>
        </w:tc>
        <w:tc>
          <w:tcPr>
            <w:tcW w:w="7161" w:type="dxa"/>
          </w:tcPr>
          <w:p w14:paraId="731368F5">
            <w:pPr>
              <w:rPr>
                <w:rFonts w:hint="eastAsia" w:ascii="仿宋" w:hAnsi="仿宋" w:eastAsia="仿宋" w:cs="Times New Roman"/>
                <w:color w:val="auto"/>
                <w:szCs w:val="21"/>
              </w:rPr>
            </w:pPr>
            <w:r>
              <w:rPr>
                <w:rFonts w:hint="eastAsia" w:ascii="仿宋" w:hAnsi="仿宋" w:eastAsia="仿宋" w:cs="Times New Roman"/>
                <w:color w:val="auto"/>
                <w:szCs w:val="21"/>
              </w:rPr>
              <w:t>模型全长1.8米左右。船体构件细部与衔接清晰准确，比例科学准确。</w:t>
            </w:r>
          </w:p>
          <w:p w14:paraId="711E4CA0">
            <w:pPr>
              <w:rPr>
                <w:rFonts w:hint="eastAsia" w:ascii="仿宋" w:hAnsi="仿宋" w:eastAsia="仿宋" w:cs="Times New Roman"/>
                <w:color w:val="auto"/>
                <w:szCs w:val="21"/>
              </w:rPr>
            </w:pPr>
            <w:r>
              <w:rPr>
                <w:rFonts w:hint="eastAsia" w:ascii="仿宋" w:hAnsi="仿宋" w:eastAsia="仿宋" w:cs="Times New Roman"/>
                <w:color w:val="auto"/>
                <w:szCs w:val="21"/>
              </w:rPr>
              <w:t>备注：泰兴号沉船系清道光年间沉没于东南亚海域的一艘中国商船，船型属福船。该模型需依照泰兴号考古发现及历史文献资料，等比例进行复原建造。需遵循同时期福船建造方法，由具备实船建造经验的工匠采用手工制作，着重体现福船结构及建造工艺，甲板、舱室结构、多层板、桅底部件等需一并制作。</w:t>
            </w:r>
          </w:p>
          <w:p w14:paraId="51D56D38">
            <w:pPr>
              <w:jc w:val="center"/>
              <w:rPr>
                <w:rFonts w:hint="eastAsia" w:ascii="仿宋" w:hAnsi="仿宋" w:eastAsia="仿宋" w:cs="Times New Roman"/>
                <w:color w:val="auto"/>
                <w:szCs w:val="21"/>
              </w:rPr>
            </w:pPr>
          </w:p>
        </w:tc>
      </w:tr>
      <w:tr w14:paraId="169F4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6" w:hRule="atLeast"/>
          <w:jc w:val="center"/>
        </w:trPr>
        <w:tc>
          <w:tcPr>
            <w:tcW w:w="1050" w:type="dxa"/>
            <w:noWrap/>
            <w:vAlign w:val="center"/>
          </w:tcPr>
          <w:p w14:paraId="4A068294">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参考图</w:t>
            </w:r>
          </w:p>
        </w:tc>
        <w:tc>
          <w:tcPr>
            <w:tcW w:w="7161" w:type="dxa"/>
          </w:tcPr>
          <w:p w14:paraId="0D9C4ADE">
            <w:pPr>
              <w:jc w:val="center"/>
              <w:rPr>
                <w:rFonts w:hint="eastAsia" w:ascii="宋体" w:hAnsi="宋体" w:eastAsia="宋体" w:cs="宋体"/>
                <w:color w:val="auto"/>
                <w:sz w:val="24"/>
                <w:szCs w:val="24"/>
              </w:rPr>
            </w:pPr>
            <w:r>
              <w:rPr>
                <w:rFonts w:ascii="宋体" w:hAnsi="宋体" w:eastAsia="宋体" w:cs="宋体"/>
                <w:color w:val="auto"/>
                <w:sz w:val="24"/>
                <w:szCs w:val="24"/>
              </w:rPr>
              <w:drawing>
                <wp:inline distT="0" distB="0" distL="114300" distR="114300">
                  <wp:extent cx="2606040" cy="1471930"/>
                  <wp:effectExtent l="0" t="0" r="3810" b="13970"/>
                  <wp:docPr id="5"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IMG_256"/>
                          <pic:cNvPicPr>
                            <a:picLocks noChangeAspect="1"/>
                          </pic:cNvPicPr>
                        </pic:nvPicPr>
                        <pic:blipFill>
                          <a:blip r:embed="rId7"/>
                          <a:stretch>
                            <a:fillRect/>
                          </a:stretch>
                        </pic:blipFill>
                        <pic:spPr>
                          <a:xfrm>
                            <a:off x="0" y="0"/>
                            <a:ext cx="2606040" cy="1471930"/>
                          </a:xfrm>
                          <a:prstGeom prst="rect">
                            <a:avLst/>
                          </a:prstGeom>
                          <a:noFill/>
                          <a:ln w="9525">
                            <a:noFill/>
                          </a:ln>
                        </pic:spPr>
                      </pic:pic>
                    </a:graphicData>
                  </a:graphic>
                </wp:inline>
              </w:drawing>
            </w:r>
          </w:p>
          <w:p w14:paraId="17C64307">
            <w:pPr>
              <w:jc w:val="center"/>
              <w:rPr>
                <w:rFonts w:hint="eastAsia" w:ascii="宋体" w:hAnsi="宋体" w:eastAsia="宋体" w:cs="宋体"/>
                <w:color w:val="auto"/>
                <w:sz w:val="24"/>
                <w:szCs w:val="24"/>
              </w:rPr>
            </w:pPr>
            <w:r>
              <w:rPr>
                <w:rFonts w:hint="eastAsia" w:ascii="仿宋_GB2312" w:hAnsi="仿宋_GB2312" w:eastAsia="仿宋_GB2312" w:cs="仿宋_GB2312"/>
                <w:color w:val="auto"/>
                <w:szCs w:val="21"/>
              </w:rPr>
              <w:t>上海中国航海博物馆藏泰兴号沉船模型</w:t>
            </w:r>
          </w:p>
        </w:tc>
      </w:tr>
      <w:tr w14:paraId="6FBC3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1" w:hRule="atLeast"/>
          <w:jc w:val="center"/>
        </w:trPr>
        <w:tc>
          <w:tcPr>
            <w:tcW w:w="1050" w:type="dxa"/>
            <w:noWrap/>
            <w:vAlign w:val="center"/>
          </w:tcPr>
          <w:p w14:paraId="742CEE87">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船</w:t>
            </w:r>
            <w:r>
              <w:rPr>
                <w:rFonts w:hint="eastAsia" w:ascii="Calibri" w:hAnsi="Calibri" w:eastAsia="仿宋_GB2312" w:cs="Calibri"/>
                <w:color w:val="auto"/>
                <w:szCs w:val="21"/>
              </w:rPr>
              <w:t>模</w:t>
            </w:r>
          </w:p>
          <w:p w14:paraId="17BD4738">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主材</w:t>
            </w:r>
          </w:p>
          <w:p w14:paraId="5746A27B">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说明</w:t>
            </w:r>
          </w:p>
        </w:tc>
        <w:tc>
          <w:tcPr>
            <w:tcW w:w="7161" w:type="dxa"/>
            <w:vAlign w:val="center"/>
          </w:tcPr>
          <w:p w14:paraId="51D87DCA">
            <w:pPr>
              <w:rPr>
                <w:rFonts w:hint="eastAsia" w:ascii="仿宋" w:hAnsi="仿宋" w:eastAsia="仿宋" w:cs="Times New Roman"/>
                <w:color w:val="auto"/>
                <w:szCs w:val="21"/>
              </w:rPr>
            </w:pPr>
            <w:r>
              <w:rPr>
                <w:rFonts w:hint="eastAsia" w:ascii="仿宋" w:hAnsi="仿宋" w:eastAsia="仿宋" w:cs="Times New Roman"/>
                <w:color w:val="auto"/>
                <w:szCs w:val="21"/>
              </w:rPr>
              <w:t>主材采用柚木，辅材采用樟木、松木等硬木制作。或依据当地工匠造船传统选用其他稳定耐用、不易形变的天然木料。禁用不符合时代要求的塑料等现代工业用材。</w:t>
            </w:r>
          </w:p>
        </w:tc>
      </w:tr>
      <w:tr w14:paraId="1F647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5" w:hRule="atLeast"/>
          <w:jc w:val="center"/>
        </w:trPr>
        <w:tc>
          <w:tcPr>
            <w:tcW w:w="1050" w:type="dxa"/>
            <w:noWrap/>
            <w:vAlign w:val="center"/>
          </w:tcPr>
          <w:p w14:paraId="31F4FE03">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帆装</w:t>
            </w:r>
          </w:p>
          <w:p w14:paraId="3BDA3D6F">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涂装</w:t>
            </w:r>
          </w:p>
          <w:p w14:paraId="183D9995">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彩绘</w:t>
            </w:r>
          </w:p>
          <w:p w14:paraId="7DD9B6C6">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属具</w:t>
            </w:r>
          </w:p>
          <w:p w14:paraId="452070C4">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说明</w:t>
            </w:r>
          </w:p>
        </w:tc>
        <w:tc>
          <w:tcPr>
            <w:tcW w:w="7161" w:type="dxa"/>
          </w:tcPr>
          <w:p w14:paraId="77806289">
            <w:pPr>
              <w:rPr>
                <w:rFonts w:hint="eastAsia" w:ascii="仿宋" w:hAnsi="仿宋" w:eastAsia="仿宋" w:cs="Times New Roman"/>
                <w:color w:val="auto"/>
                <w:szCs w:val="21"/>
              </w:rPr>
            </w:pPr>
            <w:r>
              <w:rPr>
                <w:rFonts w:hint="eastAsia" w:ascii="仿宋" w:hAnsi="仿宋" w:eastAsia="仿宋" w:cs="Times New Roman"/>
                <w:color w:val="auto"/>
                <w:szCs w:val="21"/>
              </w:rPr>
              <w:t>船体细部结构清晰。</w:t>
            </w:r>
          </w:p>
          <w:p w14:paraId="5ADDC66C">
            <w:pPr>
              <w:rPr>
                <w:rFonts w:hint="eastAsia" w:ascii="仿宋" w:hAnsi="仿宋" w:eastAsia="仿宋" w:cs="Times New Roman"/>
                <w:color w:val="auto"/>
                <w:szCs w:val="21"/>
              </w:rPr>
            </w:pPr>
            <w:r>
              <w:rPr>
                <w:rFonts w:hint="eastAsia" w:ascii="仿宋" w:hAnsi="仿宋" w:eastAsia="仿宋" w:cs="Times New Roman"/>
                <w:color w:val="auto"/>
                <w:szCs w:val="21"/>
              </w:rPr>
              <w:t>帆装：依照考古发掘及历史文献进行复原。</w:t>
            </w:r>
          </w:p>
          <w:p w14:paraId="4FD839E5">
            <w:pPr>
              <w:rPr>
                <w:rFonts w:hint="eastAsia" w:ascii="仿宋" w:hAnsi="仿宋" w:eastAsia="仿宋" w:cs="Times New Roman"/>
                <w:color w:val="auto"/>
                <w:szCs w:val="21"/>
              </w:rPr>
            </w:pPr>
            <w:r>
              <w:rPr>
                <w:rFonts w:hint="eastAsia" w:ascii="仿宋" w:hAnsi="仿宋" w:eastAsia="仿宋" w:cs="Times New Roman"/>
                <w:color w:val="auto"/>
                <w:szCs w:val="21"/>
              </w:rPr>
              <w:t>涂装：采用白色涂装。</w:t>
            </w:r>
          </w:p>
          <w:p w14:paraId="307CB808">
            <w:pPr>
              <w:rPr>
                <w:rFonts w:hint="eastAsia" w:ascii="仿宋" w:hAnsi="仿宋" w:eastAsia="仿宋" w:cs="Times New Roman"/>
                <w:color w:val="auto"/>
                <w:szCs w:val="21"/>
              </w:rPr>
            </w:pPr>
            <w:r>
              <w:rPr>
                <w:rFonts w:hint="eastAsia" w:ascii="仿宋" w:hAnsi="仿宋" w:eastAsia="仿宋" w:cs="Times New Roman"/>
                <w:color w:val="auto"/>
                <w:szCs w:val="21"/>
              </w:rPr>
              <w:t>彩绘：艉部参考清代同时期图案进行彩绘。</w:t>
            </w:r>
          </w:p>
          <w:p w14:paraId="4B899040">
            <w:pPr>
              <w:rPr>
                <w:rFonts w:hint="eastAsia" w:ascii="仿宋" w:hAnsi="仿宋" w:eastAsia="仿宋" w:cs="Times New Roman"/>
                <w:color w:val="auto"/>
                <w:szCs w:val="21"/>
              </w:rPr>
            </w:pPr>
            <w:r>
              <w:rPr>
                <w:rFonts w:hint="eastAsia" w:ascii="仿宋" w:hAnsi="仿宋" w:eastAsia="仿宋" w:cs="Times New Roman"/>
                <w:color w:val="auto"/>
                <w:szCs w:val="21"/>
              </w:rPr>
              <w:t>属具：属具配备上不使用化纤等不符合时代要求的现代制品。</w:t>
            </w:r>
          </w:p>
        </w:tc>
      </w:tr>
    </w:tbl>
    <w:p w14:paraId="022B9CB4">
      <w:pPr>
        <w:widowControl/>
        <w:jc w:val="left"/>
        <w:rPr>
          <w:rFonts w:ascii="仿宋_GB2312" w:hAnsi="Calibri" w:eastAsia="仿宋_GB2312" w:cs="Times New Roman"/>
          <w:color w:val="auto"/>
          <w:szCs w:val="21"/>
        </w:rPr>
      </w:pPr>
    </w:p>
    <w:tbl>
      <w:tblPr>
        <w:tblStyle w:val="12"/>
        <w:tblW w:w="82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0"/>
        <w:gridCol w:w="7161"/>
      </w:tblGrid>
      <w:tr w14:paraId="39CA9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8211" w:type="dxa"/>
            <w:gridSpan w:val="2"/>
            <w:noWrap/>
            <w:vAlign w:val="center"/>
          </w:tcPr>
          <w:p w14:paraId="1C4FDBBD">
            <w:pPr>
              <w:jc w:val="center"/>
              <w:rPr>
                <w:rFonts w:hint="eastAsia" w:ascii="仿宋" w:hAnsi="仿宋" w:eastAsia="仿宋_GB2312" w:cs="Times New Roman"/>
                <w:color w:val="auto"/>
                <w:szCs w:val="21"/>
                <w:lang w:val="en-US" w:eastAsia="zh-CN"/>
              </w:rPr>
            </w:pPr>
            <w:r>
              <w:rPr>
                <w:rFonts w:hint="eastAsia" w:ascii="仿宋_GB2312" w:hAnsi="仿宋_GB2312" w:eastAsia="仿宋_GB2312" w:cs="仿宋_GB2312"/>
                <w:color w:val="auto"/>
                <w:sz w:val="28"/>
                <w:szCs w:val="28"/>
              </w:rPr>
              <w:t>项目7：</w:t>
            </w:r>
            <w:r>
              <w:rPr>
                <w:rFonts w:hint="eastAsia" w:ascii="仿宋_GB2312" w:hAnsi="仿宋_GB2312" w:eastAsia="仿宋_GB2312" w:cs="仿宋_GB2312"/>
                <w:color w:val="auto"/>
                <w:sz w:val="28"/>
                <w:szCs w:val="28"/>
                <w:lang w:val="en-US" w:eastAsia="zh-CN"/>
              </w:rPr>
              <w:t>卡蒂萨克号模型</w:t>
            </w:r>
          </w:p>
        </w:tc>
      </w:tr>
      <w:tr w14:paraId="739DE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6" w:hRule="atLeast"/>
          <w:jc w:val="center"/>
        </w:trPr>
        <w:tc>
          <w:tcPr>
            <w:tcW w:w="1050" w:type="dxa"/>
            <w:noWrap/>
            <w:vAlign w:val="center"/>
          </w:tcPr>
          <w:p w14:paraId="3DF94501">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尺寸</w:t>
            </w:r>
          </w:p>
          <w:p w14:paraId="6BD5CA43">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工艺</w:t>
            </w:r>
          </w:p>
          <w:p w14:paraId="549CD2D1">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说明</w:t>
            </w:r>
          </w:p>
        </w:tc>
        <w:tc>
          <w:tcPr>
            <w:tcW w:w="7161" w:type="dxa"/>
          </w:tcPr>
          <w:p w14:paraId="07F8980E">
            <w:pPr>
              <w:rPr>
                <w:rFonts w:hint="eastAsia" w:ascii="仿宋" w:hAnsi="仿宋" w:eastAsia="仿宋" w:cs="Times New Roman"/>
                <w:color w:val="auto"/>
                <w:szCs w:val="21"/>
              </w:rPr>
            </w:pPr>
            <w:r>
              <w:rPr>
                <w:rFonts w:hint="eastAsia" w:ascii="仿宋" w:hAnsi="仿宋" w:eastAsia="仿宋" w:cs="Times New Roman"/>
                <w:color w:val="auto"/>
                <w:szCs w:val="21"/>
              </w:rPr>
              <w:t>模型全长1.6米左右。船体构件细部与衔接清晰准确，比例科学准确。</w:t>
            </w:r>
          </w:p>
          <w:p w14:paraId="38542949">
            <w:pPr>
              <w:rPr>
                <w:rFonts w:hint="eastAsia" w:ascii="仿宋" w:hAnsi="仿宋" w:eastAsia="仿宋" w:cs="Times New Roman"/>
                <w:color w:val="auto"/>
                <w:szCs w:val="21"/>
              </w:rPr>
            </w:pPr>
            <w:r>
              <w:rPr>
                <w:rFonts w:hint="eastAsia" w:ascii="仿宋" w:hAnsi="仿宋" w:eastAsia="仿宋" w:cs="Times New Roman"/>
                <w:color w:val="auto"/>
                <w:szCs w:val="21"/>
              </w:rPr>
              <w:t>备注：该模型需</w:t>
            </w:r>
            <w:r>
              <w:rPr>
                <w:rFonts w:hint="eastAsia" w:ascii="仿宋" w:hAnsi="仿宋" w:eastAsia="仿宋" w:cs="Times New Roman"/>
                <w:color w:val="auto"/>
                <w:szCs w:val="21"/>
                <w:lang w:val="en-US" w:eastAsia="zh-CN"/>
              </w:rPr>
              <w:t>以</w:t>
            </w:r>
            <w:r>
              <w:rPr>
                <w:rFonts w:hint="eastAsia" w:ascii="仿宋" w:hAnsi="仿宋" w:eastAsia="仿宋" w:cs="Times New Roman"/>
                <w:color w:val="auto"/>
                <w:szCs w:val="21"/>
              </w:rPr>
              <w:t>英国</w:t>
            </w:r>
            <w:r>
              <w:rPr>
                <w:rFonts w:ascii="仿宋" w:hAnsi="仿宋" w:eastAsia="仿宋" w:cs="Times New Roman"/>
                <w:color w:val="auto"/>
                <w:szCs w:val="21"/>
              </w:rPr>
              <w:t>格林威治皇家博物馆</w:t>
            </w:r>
            <w:r>
              <w:rPr>
                <w:rFonts w:hint="eastAsia" w:ascii="仿宋" w:hAnsi="仿宋" w:eastAsia="仿宋" w:cs="Times New Roman"/>
                <w:color w:val="auto"/>
                <w:szCs w:val="21"/>
              </w:rPr>
              <w:t>藏的卡蒂萨克号为原型，等比例缩小后制作，准确还原其外观风貌。</w:t>
            </w:r>
            <w:r>
              <w:rPr>
                <w:rFonts w:ascii="仿宋" w:hAnsi="仿宋" w:eastAsia="仿宋" w:cs="Times New Roman"/>
                <w:color w:val="auto"/>
                <w:szCs w:val="21"/>
              </w:rPr>
              <w:t>帆船</w:t>
            </w:r>
            <w:r>
              <w:rPr>
                <w:rFonts w:hint="eastAsia" w:ascii="仿宋" w:hAnsi="仿宋" w:eastAsia="仿宋" w:cs="Times New Roman"/>
                <w:color w:val="auto"/>
                <w:szCs w:val="21"/>
              </w:rPr>
              <w:t>上装饰的</w:t>
            </w:r>
            <w:r>
              <w:rPr>
                <w:rFonts w:ascii="仿宋" w:hAnsi="仿宋" w:eastAsia="仿宋" w:cs="Times New Roman"/>
                <w:color w:val="auto"/>
                <w:szCs w:val="21"/>
              </w:rPr>
              <w:t>圆雕、浮雕</w:t>
            </w:r>
            <w:r>
              <w:rPr>
                <w:rFonts w:hint="eastAsia" w:ascii="仿宋" w:hAnsi="仿宋" w:eastAsia="仿宋" w:cs="Times New Roman"/>
                <w:color w:val="auto"/>
                <w:szCs w:val="21"/>
              </w:rPr>
              <w:t>应有体现，以</w:t>
            </w:r>
            <w:r>
              <w:rPr>
                <w:rFonts w:ascii="仿宋" w:hAnsi="仿宋" w:eastAsia="仿宋" w:cs="Times New Roman"/>
                <w:color w:val="auto"/>
                <w:szCs w:val="21"/>
              </w:rPr>
              <w:t>手工精雕</w:t>
            </w:r>
            <w:r>
              <w:rPr>
                <w:rFonts w:hint="eastAsia" w:ascii="仿宋" w:hAnsi="仿宋" w:eastAsia="仿宋" w:cs="Times New Roman"/>
                <w:color w:val="auto"/>
                <w:szCs w:val="21"/>
              </w:rPr>
              <w:t>为优。</w:t>
            </w:r>
          </w:p>
        </w:tc>
      </w:tr>
      <w:tr w14:paraId="4A25D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1" w:hRule="atLeast"/>
          <w:jc w:val="center"/>
        </w:trPr>
        <w:tc>
          <w:tcPr>
            <w:tcW w:w="1050" w:type="dxa"/>
            <w:noWrap/>
            <w:vAlign w:val="center"/>
          </w:tcPr>
          <w:p w14:paraId="513A2A77">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船</w:t>
            </w:r>
            <w:r>
              <w:rPr>
                <w:rFonts w:hint="eastAsia" w:ascii="Calibri" w:hAnsi="Calibri" w:eastAsia="仿宋_GB2312" w:cs="Calibri"/>
                <w:color w:val="auto"/>
                <w:szCs w:val="21"/>
              </w:rPr>
              <w:t>模</w:t>
            </w:r>
          </w:p>
          <w:p w14:paraId="3A7BA65A">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主材</w:t>
            </w:r>
          </w:p>
          <w:p w14:paraId="46F20CE5">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说明</w:t>
            </w:r>
          </w:p>
        </w:tc>
        <w:tc>
          <w:tcPr>
            <w:tcW w:w="7161" w:type="dxa"/>
            <w:vAlign w:val="center"/>
          </w:tcPr>
          <w:p w14:paraId="5CEE0E87">
            <w:pPr>
              <w:rPr>
                <w:rFonts w:hint="eastAsia" w:ascii="仿宋" w:hAnsi="仿宋" w:eastAsia="仿宋" w:cs="Times New Roman"/>
                <w:color w:val="auto"/>
                <w:szCs w:val="21"/>
              </w:rPr>
            </w:pPr>
            <w:r>
              <w:rPr>
                <w:rFonts w:hint="eastAsia" w:ascii="仿宋" w:hAnsi="仿宋" w:eastAsia="仿宋" w:cs="Times New Roman"/>
                <w:color w:val="auto"/>
                <w:szCs w:val="21"/>
              </w:rPr>
              <w:t>参考原船材质，选取</w:t>
            </w:r>
            <w:r>
              <w:rPr>
                <w:rFonts w:hint="eastAsia" w:ascii="仿宋" w:hAnsi="仿宋" w:eastAsia="仿宋" w:cs="Times New Roman"/>
                <w:color w:val="auto"/>
                <w:szCs w:val="21"/>
                <w:lang w:val="en-US" w:eastAsia="zh-CN"/>
              </w:rPr>
              <w:t>与原船一致的</w:t>
            </w:r>
            <w:r>
              <w:rPr>
                <w:rFonts w:hint="eastAsia" w:ascii="仿宋" w:hAnsi="仿宋" w:eastAsia="仿宋" w:cs="Times New Roman"/>
                <w:color w:val="auto"/>
                <w:szCs w:val="21"/>
              </w:rPr>
              <w:t>稳定耐用、不易形变的天然木料。禁用不符合时代要求的塑料等现代工业用材。</w:t>
            </w:r>
          </w:p>
        </w:tc>
      </w:tr>
      <w:tr w14:paraId="14371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5" w:hRule="atLeast"/>
          <w:jc w:val="center"/>
        </w:trPr>
        <w:tc>
          <w:tcPr>
            <w:tcW w:w="1050" w:type="dxa"/>
            <w:noWrap/>
            <w:vAlign w:val="center"/>
          </w:tcPr>
          <w:p w14:paraId="6EC25331">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帆装</w:t>
            </w:r>
          </w:p>
          <w:p w14:paraId="4FCC5A11">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涂装</w:t>
            </w:r>
          </w:p>
          <w:p w14:paraId="01D3FF2B">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彩绘</w:t>
            </w:r>
          </w:p>
          <w:p w14:paraId="081AE691">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属具</w:t>
            </w:r>
          </w:p>
          <w:p w14:paraId="783222D7">
            <w:pPr>
              <w:jc w:val="center"/>
              <w:rPr>
                <w:rFonts w:hint="eastAsia" w:ascii="仿宋_GB2312" w:hAnsi="宋体" w:eastAsia="仿宋_GB2312" w:cs="Times New Roman"/>
                <w:color w:val="auto"/>
                <w:szCs w:val="21"/>
              </w:rPr>
            </w:pPr>
            <w:r>
              <w:rPr>
                <w:rFonts w:hint="eastAsia" w:ascii="仿宋_GB2312" w:hAnsi="宋体" w:eastAsia="仿宋_GB2312" w:cs="Times New Roman"/>
                <w:color w:val="auto"/>
                <w:szCs w:val="21"/>
              </w:rPr>
              <w:t>说明</w:t>
            </w:r>
          </w:p>
        </w:tc>
        <w:tc>
          <w:tcPr>
            <w:tcW w:w="7161" w:type="dxa"/>
          </w:tcPr>
          <w:p w14:paraId="3F210064">
            <w:pPr>
              <w:rPr>
                <w:rFonts w:hint="eastAsia" w:ascii="仿宋" w:hAnsi="仿宋" w:eastAsia="仿宋" w:cs="Times New Roman"/>
                <w:color w:val="auto"/>
                <w:szCs w:val="21"/>
              </w:rPr>
            </w:pPr>
            <w:r>
              <w:rPr>
                <w:rFonts w:hint="eastAsia" w:ascii="仿宋" w:hAnsi="仿宋" w:eastAsia="仿宋" w:cs="Times New Roman"/>
                <w:color w:val="auto"/>
                <w:szCs w:val="21"/>
              </w:rPr>
              <w:t>船体细部结构清晰。</w:t>
            </w:r>
          </w:p>
          <w:p w14:paraId="4A84054E">
            <w:pPr>
              <w:rPr>
                <w:rFonts w:hint="eastAsia" w:ascii="仿宋" w:hAnsi="仿宋" w:eastAsia="仿宋" w:cs="Times New Roman"/>
                <w:color w:val="auto"/>
                <w:szCs w:val="21"/>
              </w:rPr>
            </w:pPr>
            <w:r>
              <w:rPr>
                <w:rFonts w:hint="eastAsia" w:ascii="仿宋" w:hAnsi="仿宋" w:eastAsia="仿宋" w:cs="Times New Roman"/>
                <w:color w:val="auto"/>
                <w:szCs w:val="21"/>
              </w:rPr>
              <w:t>帆装：参考原船。</w:t>
            </w:r>
          </w:p>
          <w:p w14:paraId="28B67A1E">
            <w:pPr>
              <w:rPr>
                <w:rFonts w:hint="eastAsia" w:ascii="仿宋" w:hAnsi="仿宋" w:eastAsia="仿宋" w:cs="Times New Roman"/>
                <w:color w:val="auto"/>
                <w:szCs w:val="21"/>
              </w:rPr>
            </w:pPr>
            <w:r>
              <w:rPr>
                <w:rFonts w:hint="eastAsia" w:ascii="仿宋" w:hAnsi="仿宋" w:eastAsia="仿宋" w:cs="Times New Roman"/>
                <w:color w:val="auto"/>
                <w:szCs w:val="21"/>
              </w:rPr>
              <w:t>涂装：吃水部包铜皮，以上为黑色涂装，桅杆白色。</w:t>
            </w:r>
          </w:p>
          <w:p w14:paraId="44663EB1">
            <w:pPr>
              <w:rPr>
                <w:rFonts w:hint="eastAsia" w:ascii="仿宋" w:hAnsi="仿宋" w:eastAsia="仿宋" w:cs="Times New Roman"/>
                <w:color w:val="auto"/>
                <w:szCs w:val="21"/>
              </w:rPr>
            </w:pPr>
            <w:r>
              <w:rPr>
                <w:rFonts w:hint="eastAsia" w:ascii="仿宋" w:hAnsi="仿宋" w:eastAsia="仿宋" w:cs="Times New Roman"/>
                <w:color w:val="auto"/>
                <w:szCs w:val="21"/>
              </w:rPr>
              <w:t>彩绘：参考原船。</w:t>
            </w:r>
          </w:p>
          <w:p w14:paraId="2B2AA64F">
            <w:pPr>
              <w:rPr>
                <w:rFonts w:hint="eastAsia" w:ascii="仿宋" w:hAnsi="仿宋" w:eastAsia="仿宋" w:cs="Times New Roman"/>
                <w:color w:val="auto"/>
                <w:szCs w:val="21"/>
              </w:rPr>
            </w:pPr>
            <w:r>
              <w:rPr>
                <w:rFonts w:hint="eastAsia" w:ascii="仿宋" w:hAnsi="仿宋" w:eastAsia="仿宋" w:cs="Times New Roman"/>
                <w:color w:val="auto"/>
                <w:szCs w:val="21"/>
              </w:rPr>
              <w:t>属具：参考原船，在属具配备上不使用化纤等不符合时代要求的现代制品。</w:t>
            </w:r>
          </w:p>
        </w:tc>
      </w:tr>
    </w:tbl>
    <w:p w14:paraId="375C0CFE">
      <w:pPr>
        <w:pStyle w:val="10"/>
        <w:widowControl/>
        <w:spacing w:line="360" w:lineRule="auto"/>
        <w:rPr>
          <w:rFonts w:hint="eastAsia" w:ascii="宋体" w:hAnsi="宋体" w:cs="宋体"/>
          <w:color w:val="auto"/>
          <w:sz w:val="24"/>
          <w:szCs w:val="24"/>
          <w:u w:val="none"/>
        </w:rPr>
      </w:pPr>
    </w:p>
    <w:p w14:paraId="630A5A5D">
      <w:pPr>
        <w:pStyle w:val="10"/>
        <w:widowControl/>
        <w:spacing w:line="360" w:lineRule="auto"/>
        <w:ind w:firstLine="480" w:firstLineChars="200"/>
        <w:rPr>
          <w:rFonts w:hint="eastAsia" w:ascii="宋体" w:hAnsi="宋体" w:cs="宋体"/>
          <w:color w:val="auto"/>
          <w:sz w:val="24"/>
          <w:szCs w:val="24"/>
          <w:u w:val="none"/>
        </w:rPr>
      </w:pPr>
    </w:p>
    <w:p w14:paraId="6210F2EE">
      <w:pPr>
        <w:rPr>
          <w:rFonts w:hint="eastAsia" w:ascii="宋体" w:hAnsi="宋体" w:cs="宋体"/>
          <w:color w:val="auto"/>
          <w:sz w:val="24"/>
          <w:szCs w:val="24"/>
        </w:rPr>
      </w:pPr>
    </w:p>
    <w:p w14:paraId="0DA729C1">
      <w:pPr>
        <w:rPr>
          <w:color w:val="auto"/>
        </w:rPr>
      </w:pPr>
    </w:p>
    <w:sectPr>
      <w:footerReference r:id="rId3"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10320454"/>
    </w:sdtPr>
    <w:sdtContent>
      <w:p w14:paraId="67E6C154">
        <w:pPr>
          <w:pStyle w:val="8"/>
          <w:jc w:val="center"/>
        </w:pPr>
        <w:r>
          <w:fldChar w:fldCharType="begin"/>
        </w:r>
        <w:r>
          <w:instrText xml:space="preserve">PAGE   \* MERGEFORMAT</w:instrText>
        </w:r>
        <w:r>
          <w:fldChar w:fldCharType="separate"/>
        </w:r>
        <w:r>
          <w:rPr>
            <w:lang w:val="zh-CN"/>
          </w:rPr>
          <w:t>2</w:t>
        </w:r>
        <w:r>
          <w:fldChar w:fldCharType="end"/>
        </w:r>
      </w:p>
    </w:sdtContent>
  </w:sdt>
  <w:p w14:paraId="4E48CE4B">
    <w:pPr>
      <w:pStyle w:val="8"/>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B6666CC"/>
    <w:multiLevelType w:val="multilevel"/>
    <w:tmpl w:val="1B6666CC"/>
    <w:lvl w:ilvl="0" w:tentative="0">
      <w:start w:val="1"/>
      <w:numFmt w:val="decimal"/>
      <w:suff w:val="space"/>
      <w:lvlText w:val="%1."/>
      <w:lvlJc w:val="left"/>
      <w:pPr>
        <w:ind w:left="0" w:firstLine="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285FE45B"/>
    <w:multiLevelType w:val="singleLevel"/>
    <w:tmpl w:val="285FE45B"/>
    <w:lvl w:ilvl="0" w:tentative="0">
      <w:start w:val="1"/>
      <w:numFmt w:val="decimal"/>
      <w:suff w:val="nothing"/>
      <w:lvlText w:val="（%1）"/>
      <w:lvlJc w:val="left"/>
    </w:lvl>
  </w:abstractNum>
  <w:abstractNum w:abstractNumId="2">
    <w:nsid w:val="6F79A827"/>
    <w:multiLevelType w:val="multilevel"/>
    <w:tmpl w:val="6F79A827"/>
    <w:lvl w:ilvl="0" w:tentative="0">
      <w:start w:val="5"/>
      <w:numFmt w:val="decimal"/>
      <w:suff w:val="space"/>
      <w:lvlText w:val="%1."/>
      <w:lvlJc w:val="left"/>
      <w:pPr>
        <w:ind w:left="0" w:firstLine="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2"/>
  </w:compat>
  <w:rsids>
    <w:rsidRoot w:val="26520CF1"/>
    <w:rsid w:val="000241F0"/>
    <w:rsid w:val="00051EB4"/>
    <w:rsid w:val="00093F33"/>
    <w:rsid w:val="000C692F"/>
    <w:rsid w:val="000D16DB"/>
    <w:rsid w:val="001577A5"/>
    <w:rsid w:val="001728BF"/>
    <w:rsid w:val="00216E46"/>
    <w:rsid w:val="0028213B"/>
    <w:rsid w:val="002B03E5"/>
    <w:rsid w:val="002B4B7F"/>
    <w:rsid w:val="002C3DED"/>
    <w:rsid w:val="00307A98"/>
    <w:rsid w:val="00397F7F"/>
    <w:rsid w:val="003B4AC8"/>
    <w:rsid w:val="00553611"/>
    <w:rsid w:val="005C212B"/>
    <w:rsid w:val="00622243"/>
    <w:rsid w:val="006B493C"/>
    <w:rsid w:val="006C06A3"/>
    <w:rsid w:val="0071278C"/>
    <w:rsid w:val="00716765"/>
    <w:rsid w:val="007D47F5"/>
    <w:rsid w:val="00846DA7"/>
    <w:rsid w:val="008E4E42"/>
    <w:rsid w:val="00A132D4"/>
    <w:rsid w:val="00A87066"/>
    <w:rsid w:val="00AD5F1D"/>
    <w:rsid w:val="00AF263E"/>
    <w:rsid w:val="00B5446F"/>
    <w:rsid w:val="00BA6BBD"/>
    <w:rsid w:val="00C16939"/>
    <w:rsid w:val="00C42FEF"/>
    <w:rsid w:val="00DF0870"/>
    <w:rsid w:val="00E15234"/>
    <w:rsid w:val="00EC0CC3"/>
    <w:rsid w:val="00ED46D7"/>
    <w:rsid w:val="00F25C5D"/>
    <w:rsid w:val="00F706B4"/>
    <w:rsid w:val="00F8025F"/>
    <w:rsid w:val="00F8290D"/>
    <w:rsid w:val="00F83E17"/>
    <w:rsid w:val="022B124A"/>
    <w:rsid w:val="02B675A9"/>
    <w:rsid w:val="042C4A18"/>
    <w:rsid w:val="0442423B"/>
    <w:rsid w:val="0523054B"/>
    <w:rsid w:val="05502988"/>
    <w:rsid w:val="062E6DE7"/>
    <w:rsid w:val="06A42F8B"/>
    <w:rsid w:val="075D7DC0"/>
    <w:rsid w:val="0865499C"/>
    <w:rsid w:val="08B13EA6"/>
    <w:rsid w:val="091A12E3"/>
    <w:rsid w:val="093F6F9B"/>
    <w:rsid w:val="09613BAE"/>
    <w:rsid w:val="096D58B6"/>
    <w:rsid w:val="09880942"/>
    <w:rsid w:val="0ABB6AF5"/>
    <w:rsid w:val="0B04049C"/>
    <w:rsid w:val="0B301291"/>
    <w:rsid w:val="0B36617C"/>
    <w:rsid w:val="0BFE1A29"/>
    <w:rsid w:val="0C00603E"/>
    <w:rsid w:val="0C1C2F3E"/>
    <w:rsid w:val="0DE13B1F"/>
    <w:rsid w:val="0ECF2B6F"/>
    <w:rsid w:val="0EED1247"/>
    <w:rsid w:val="0F9A317D"/>
    <w:rsid w:val="0FA0622F"/>
    <w:rsid w:val="0FF860F6"/>
    <w:rsid w:val="102C08FB"/>
    <w:rsid w:val="106E1301"/>
    <w:rsid w:val="10B54599"/>
    <w:rsid w:val="10CA5CE4"/>
    <w:rsid w:val="11015E0B"/>
    <w:rsid w:val="11E642FD"/>
    <w:rsid w:val="124A70DD"/>
    <w:rsid w:val="13693592"/>
    <w:rsid w:val="14467430"/>
    <w:rsid w:val="14667AD2"/>
    <w:rsid w:val="160B46E8"/>
    <w:rsid w:val="16111CBF"/>
    <w:rsid w:val="16296D61"/>
    <w:rsid w:val="168D7598"/>
    <w:rsid w:val="168E3310"/>
    <w:rsid w:val="16DF43FD"/>
    <w:rsid w:val="18BB2FAE"/>
    <w:rsid w:val="19AE181E"/>
    <w:rsid w:val="19E83BFF"/>
    <w:rsid w:val="19F85670"/>
    <w:rsid w:val="1A6E5932"/>
    <w:rsid w:val="1AA650CC"/>
    <w:rsid w:val="1B4B7FC5"/>
    <w:rsid w:val="1B917B2A"/>
    <w:rsid w:val="1BB90E2F"/>
    <w:rsid w:val="1C542906"/>
    <w:rsid w:val="1C782165"/>
    <w:rsid w:val="1C7F7983"/>
    <w:rsid w:val="1CB246C2"/>
    <w:rsid w:val="1CCC06EE"/>
    <w:rsid w:val="1FC66C62"/>
    <w:rsid w:val="21231DD3"/>
    <w:rsid w:val="21612F6B"/>
    <w:rsid w:val="218B501C"/>
    <w:rsid w:val="21CE6CB6"/>
    <w:rsid w:val="21E2678B"/>
    <w:rsid w:val="21EB34D3"/>
    <w:rsid w:val="21FE134A"/>
    <w:rsid w:val="22F83FEB"/>
    <w:rsid w:val="23A423C5"/>
    <w:rsid w:val="24F1163A"/>
    <w:rsid w:val="26520CF1"/>
    <w:rsid w:val="266446F7"/>
    <w:rsid w:val="267906E6"/>
    <w:rsid w:val="26D42522"/>
    <w:rsid w:val="28A97313"/>
    <w:rsid w:val="28E35E07"/>
    <w:rsid w:val="29B175E9"/>
    <w:rsid w:val="29BF3AB4"/>
    <w:rsid w:val="2AD652E6"/>
    <w:rsid w:val="2AF61758"/>
    <w:rsid w:val="2AFF50BA"/>
    <w:rsid w:val="2B5B780D"/>
    <w:rsid w:val="2C1737B9"/>
    <w:rsid w:val="2C5D5807"/>
    <w:rsid w:val="2D0B0DBF"/>
    <w:rsid w:val="2D7921CC"/>
    <w:rsid w:val="2D934B50"/>
    <w:rsid w:val="2D966384"/>
    <w:rsid w:val="2DCC49F2"/>
    <w:rsid w:val="2F20345E"/>
    <w:rsid w:val="2F464330"/>
    <w:rsid w:val="2FBC2844"/>
    <w:rsid w:val="30474804"/>
    <w:rsid w:val="306E71C1"/>
    <w:rsid w:val="31D64091"/>
    <w:rsid w:val="322F37A1"/>
    <w:rsid w:val="328238D1"/>
    <w:rsid w:val="32C9195B"/>
    <w:rsid w:val="33A06705"/>
    <w:rsid w:val="33FC5905"/>
    <w:rsid w:val="340D6012"/>
    <w:rsid w:val="343C4D4A"/>
    <w:rsid w:val="34831B82"/>
    <w:rsid w:val="34A273FC"/>
    <w:rsid w:val="356B1732"/>
    <w:rsid w:val="35F1398E"/>
    <w:rsid w:val="35FD2646"/>
    <w:rsid w:val="36317C8C"/>
    <w:rsid w:val="364517E5"/>
    <w:rsid w:val="367252E0"/>
    <w:rsid w:val="373B602E"/>
    <w:rsid w:val="383218F5"/>
    <w:rsid w:val="38602906"/>
    <w:rsid w:val="38664899"/>
    <w:rsid w:val="38BC3F52"/>
    <w:rsid w:val="38E028D5"/>
    <w:rsid w:val="39351138"/>
    <w:rsid w:val="39355B41"/>
    <w:rsid w:val="398E34A3"/>
    <w:rsid w:val="3A2B484E"/>
    <w:rsid w:val="3AE50EA1"/>
    <w:rsid w:val="3B027CA5"/>
    <w:rsid w:val="3B05349D"/>
    <w:rsid w:val="3C5A7433"/>
    <w:rsid w:val="3D1B5420"/>
    <w:rsid w:val="3D3E610C"/>
    <w:rsid w:val="3D9D3CB5"/>
    <w:rsid w:val="3F5D194E"/>
    <w:rsid w:val="3FE567A3"/>
    <w:rsid w:val="3FE60532"/>
    <w:rsid w:val="401A783F"/>
    <w:rsid w:val="41967399"/>
    <w:rsid w:val="41A25D3E"/>
    <w:rsid w:val="41FB36A0"/>
    <w:rsid w:val="42562684"/>
    <w:rsid w:val="42B23D5F"/>
    <w:rsid w:val="42D31F27"/>
    <w:rsid w:val="43391B85"/>
    <w:rsid w:val="435272F0"/>
    <w:rsid w:val="438D0328"/>
    <w:rsid w:val="444C01E3"/>
    <w:rsid w:val="44721E23"/>
    <w:rsid w:val="448F15A1"/>
    <w:rsid w:val="44B738AE"/>
    <w:rsid w:val="44DA759D"/>
    <w:rsid w:val="44ED5522"/>
    <w:rsid w:val="457C4AF8"/>
    <w:rsid w:val="45EA07DD"/>
    <w:rsid w:val="465758BB"/>
    <w:rsid w:val="466E32A2"/>
    <w:rsid w:val="474451A1"/>
    <w:rsid w:val="47B42327"/>
    <w:rsid w:val="4831385A"/>
    <w:rsid w:val="484826DA"/>
    <w:rsid w:val="485A1120"/>
    <w:rsid w:val="494029CE"/>
    <w:rsid w:val="4943418B"/>
    <w:rsid w:val="498A4BEA"/>
    <w:rsid w:val="49A308A5"/>
    <w:rsid w:val="49D10A7F"/>
    <w:rsid w:val="49F20EE5"/>
    <w:rsid w:val="4A02281A"/>
    <w:rsid w:val="4A6F5DD2"/>
    <w:rsid w:val="4A8835F7"/>
    <w:rsid w:val="4B4E2A92"/>
    <w:rsid w:val="4B842010"/>
    <w:rsid w:val="4BF27B5D"/>
    <w:rsid w:val="4CDD7C2A"/>
    <w:rsid w:val="4D27359B"/>
    <w:rsid w:val="4D6407D5"/>
    <w:rsid w:val="4D6E11CA"/>
    <w:rsid w:val="4E393586"/>
    <w:rsid w:val="4ECD3CCE"/>
    <w:rsid w:val="4F367AC5"/>
    <w:rsid w:val="4F3B460A"/>
    <w:rsid w:val="4F74239C"/>
    <w:rsid w:val="50B029AB"/>
    <w:rsid w:val="514B3CFC"/>
    <w:rsid w:val="517A68F6"/>
    <w:rsid w:val="51894824"/>
    <w:rsid w:val="523B425A"/>
    <w:rsid w:val="52BC4786"/>
    <w:rsid w:val="53A56FC8"/>
    <w:rsid w:val="540939FA"/>
    <w:rsid w:val="54484B5E"/>
    <w:rsid w:val="544B7B6F"/>
    <w:rsid w:val="54613836"/>
    <w:rsid w:val="54801F51"/>
    <w:rsid w:val="548A4B3B"/>
    <w:rsid w:val="54A159E1"/>
    <w:rsid w:val="55CC5BBE"/>
    <w:rsid w:val="56095F34"/>
    <w:rsid w:val="561874D6"/>
    <w:rsid w:val="562A159A"/>
    <w:rsid w:val="56FA762A"/>
    <w:rsid w:val="574D1E50"/>
    <w:rsid w:val="57580F21"/>
    <w:rsid w:val="584E40D2"/>
    <w:rsid w:val="58AB5080"/>
    <w:rsid w:val="58F35DB2"/>
    <w:rsid w:val="592117E6"/>
    <w:rsid w:val="5A663955"/>
    <w:rsid w:val="5B590DC3"/>
    <w:rsid w:val="5B8F2B27"/>
    <w:rsid w:val="5C7000CD"/>
    <w:rsid w:val="5CF80758"/>
    <w:rsid w:val="5D6B1282"/>
    <w:rsid w:val="5D6D4E17"/>
    <w:rsid w:val="5D900CE9"/>
    <w:rsid w:val="5DE54B90"/>
    <w:rsid w:val="5E734892"/>
    <w:rsid w:val="5F5A730E"/>
    <w:rsid w:val="60E5134B"/>
    <w:rsid w:val="624D7956"/>
    <w:rsid w:val="62EF0E65"/>
    <w:rsid w:val="637013A0"/>
    <w:rsid w:val="63B349EA"/>
    <w:rsid w:val="63D062E3"/>
    <w:rsid w:val="64D72F0C"/>
    <w:rsid w:val="64DB4F3F"/>
    <w:rsid w:val="64EE6A20"/>
    <w:rsid w:val="650941B9"/>
    <w:rsid w:val="651D5558"/>
    <w:rsid w:val="65956E9C"/>
    <w:rsid w:val="662B7800"/>
    <w:rsid w:val="677A27ED"/>
    <w:rsid w:val="6880134D"/>
    <w:rsid w:val="68836D1B"/>
    <w:rsid w:val="68B150D2"/>
    <w:rsid w:val="68E057D4"/>
    <w:rsid w:val="69074555"/>
    <w:rsid w:val="698A2836"/>
    <w:rsid w:val="6A350C4E"/>
    <w:rsid w:val="6A4032C6"/>
    <w:rsid w:val="6A4946F9"/>
    <w:rsid w:val="6ABA3AAE"/>
    <w:rsid w:val="6AE461D0"/>
    <w:rsid w:val="6AF44665"/>
    <w:rsid w:val="6B4F21E3"/>
    <w:rsid w:val="6BB169FA"/>
    <w:rsid w:val="6BDD7130"/>
    <w:rsid w:val="6BE44CE6"/>
    <w:rsid w:val="6C184383"/>
    <w:rsid w:val="6C7D78FE"/>
    <w:rsid w:val="6CB27E6C"/>
    <w:rsid w:val="6CD02EB0"/>
    <w:rsid w:val="6D2A1498"/>
    <w:rsid w:val="6DC85463"/>
    <w:rsid w:val="6DF901E4"/>
    <w:rsid w:val="6E3A4A84"/>
    <w:rsid w:val="6E421B8B"/>
    <w:rsid w:val="6EBB7C62"/>
    <w:rsid w:val="6EF94940"/>
    <w:rsid w:val="710B2708"/>
    <w:rsid w:val="71145A61"/>
    <w:rsid w:val="71C94CB5"/>
    <w:rsid w:val="71CD5C10"/>
    <w:rsid w:val="7248490E"/>
    <w:rsid w:val="72701875"/>
    <w:rsid w:val="72A30D51"/>
    <w:rsid w:val="72DF3E4C"/>
    <w:rsid w:val="73C90F9C"/>
    <w:rsid w:val="73CF2DA3"/>
    <w:rsid w:val="73D239B1"/>
    <w:rsid w:val="74455F31"/>
    <w:rsid w:val="7447614D"/>
    <w:rsid w:val="74B135C7"/>
    <w:rsid w:val="74F31E31"/>
    <w:rsid w:val="755D72AA"/>
    <w:rsid w:val="75866801"/>
    <w:rsid w:val="75A629FF"/>
    <w:rsid w:val="7608190C"/>
    <w:rsid w:val="76C77620"/>
    <w:rsid w:val="76CB62F1"/>
    <w:rsid w:val="76D4359C"/>
    <w:rsid w:val="77E141C3"/>
    <w:rsid w:val="797F5A41"/>
    <w:rsid w:val="7BA42B8C"/>
    <w:rsid w:val="7C762FD8"/>
    <w:rsid w:val="7CEE3FCC"/>
    <w:rsid w:val="7D5D014B"/>
    <w:rsid w:val="7E655B4E"/>
    <w:rsid w:val="7ECD36F3"/>
    <w:rsid w:val="7EEF18BB"/>
    <w:rsid w:val="7F062495"/>
    <w:rsid w:val="7F085303"/>
    <w:rsid w:val="7F3A0649"/>
    <w:rsid w:val="7F764D9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等线"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2"/>
    <w:basedOn w:val="1"/>
    <w:next w:val="1"/>
    <w:link w:val="18"/>
    <w:semiHidden/>
    <w:unhideWhenUsed/>
    <w:qFormat/>
    <w:uiPriority w:val="0"/>
    <w:pPr>
      <w:keepNext/>
      <w:keepLines/>
      <w:autoSpaceDE w:val="0"/>
      <w:autoSpaceDN w:val="0"/>
      <w:adjustRightInd w:val="0"/>
      <w:spacing w:before="120" w:line="300" w:lineRule="auto"/>
      <w:jc w:val="center"/>
      <w:outlineLvl w:val="1"/>
    </w:pPr>
    <w:rPr>
      <w:rFonts w:ascii="Arial" w:hAnsi="Arial" w:eastAsia="黑体"/>
      <w:b/>
      <w:kern w:val="0"/>
      <w:sz w:val="30"/>
    </w:rPr>
  </w:style>
  <w:style w:type="paragraph" w:styleId="3">
    <w:name w:val="heading 3"/>
    <w:basedOn w:val="1"/>
    <w:next w:val="4"/>
    <w:link w:val="19"/>
    <w:semiHidden/>
    <w:unhideWhenUsed/>
    <w:qFormat/>
    <w:uiPriority w:val="0"/>
    <w:pPr>
      <w:keepNext/>
      <w:keepLines/>
      <w:autoSpaceDE w:val="0"/>
      <w:autoSpaceDN w:val="0"/>
      <w:adjustRightInd w:val="0"/>
      <w:spacing w:before="360" w:after="120"/>
      <w:jc w:val="left"/>
      <w:outlineLvl w:val="2"/>
    </w:pPr>
    <w:rPr>
      <w:rFonts w:hint="eastAsia" w:ascii="宋体"/>
      <w:b/>
      <w:kern w:val="0"/>
      <w:sz w:val="24"/>
      <w:u w:val="single"/>
    </w:rPr>
  </w:style>
  <w:style w:type="character" w:default="1" w:styleId="13">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ind w:firstLine="420" w:firstLineChars="200"/>
    </w:pPr>
  </w:style>
  <w:style w:type="paragraph" w:styleId="5">
    <w:name w:val="annotation text"/>
    <w:basedOn w:val="1"/>
    <w:link w:val="15"/>
    <w:qFormat/>
    <w:uiPriority w:val="0"/>
    <w:pPr>
      <w:jc w:val="left"/>
    </w:pPr>
  </w:style>
  <w:style w:type="paragraph" w:styleId="6">
    <w:name w:val="Plain Text"/>
    <w:basedOn w:val="1"/>
    <w:link w:val="20"/>
    <w:qFormat/>
    <w:uiPriority w:val="0"/>
    <w:rPr>
      <w:rFonts w:hint="eastAsia" w:ascii="宋体" w:hAnsi="Courier New"/>
      <w:szCs w:val="21"/>
    </w:rPr>
  </w:style>
  <w:style w:type="paragraph" w:styleId="7">
    <w:name w:val="Balloon Text"/>
    <w:basedOn w:val="1"/>
    <w:link w:val="23"/>
    <w:qFormat/>
    <w:uiPriority w:val="0"/>
    <w:rPr>
      <w:sz w:val="18"/>
      <w:szCs w:val="18"/>
    </w:rPr>
  </w:style>
  <w:style w:type="paragraph" w:styleId="8">
    <w:name w:val="footer"/>
    <w:basedOn w:val="1"/>
    <w:link w:val="21"/>
    <w:qFormat/>
    <w:uiPriority w:val="99"/>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0">
    <w:name w:val="Normal (Web)"/>
    <w:basedOn w:val="1"/>
    <w:qFormat/>
    <w:uiPriority w:val="0"/>
    <w:pPr>
      <w:spacing w:beforeAutospacing="1" w:afterAutospacing="1"/>
      <w:jc w:val="left"/>
    </w:pPr>
    <w:rPr>
      <w:kern w:val="0"/>
      <w:sz w:val="24"/>
    </w:rPr>
  </w:style>
  <w:style w:type="paragraph" w:styleId="11">
    <w:name w:val="annotation subject"/>
    <w:basedOn w:val="5"/>
    <w:next w:val="5"/>
    <w:link w:val="22"/>
    <w:qFormat/>
    <w:uiPriority w:val="0"/>
    <w:rPr>
      <w:b/>
      <w:bCs/>
    </w:rPr>
  </w:style>
  <w:style w:type="character" w:styleId="14">
    <w:name w:val="annotation reference"/>
    <w:basedOn w:val="13"/>
    <w:qFormat/>
    <w:uiPriority w:val="0"/>
    <w:rPr>
      <w:sz w:val="21"/>
      <w:szCs w:val="21"/>
    </w:rPr>
  </w:style>
  <w:style w:type="character" w:customStyle="1" w:styleId="15">
    <w:name w:val="批注文字 字符"/>
    <w:basedOn w:val="13"/>
    <w:link w:val="5"/>
    <w:qFormat/>
    <w:uiPriority w:val="0"/>
    <w:rPr>
      <w:rFonts w:hint="default" w:ascii="Times New Roman" w:hAnsi="Times New Roman" w:eastAsia="宋体" w:cs="Times New Roman"/>
      <w:kern w:val="2"/>
      <w:sz w:val="21"/>
    </w:rPr>
  </w:style>
  <w:style w:type="paragraph" w:customStyle="1" w:styleId="16">
    <w:name w:val="正文文字缩进 2"/>
    <w:basedOn w:val="1"/>
    <w:qFormat/>
    <w:uiPriority w:val="0"/>
    <w:pPr>
      <w:widowControl/>
      <w:spacing w:line="351" w:lineRule="atLeast"/>
      <w:ind w:firstLine="481"/>
    </w:pPr>
    <w:rPr>
      <w:rFonts w:ascii="仿宋_GB2312" w:eastAsia="仿宋_GB2312"/>
      <w:color w:val="000000"/>
      <w:kern w:val="0"/>
      <w:sz w:val="24"/>
      <w:u w:color="000000"/>
    </w:rPr>
  </w:style>
  <w:style w:type="paragraph" w:customStyle="1" w:styleId="17">
    <w:name w:val="正文文字缩进 3"/>
    <w:basedOn w:val="1"/>
    <w:qFormat/>
    <w:uiPriority w:val="0"/>
    <w:pPr>
      <w:widowControl/>
      <w:spacing w:before="119" w:line="272" w:lineRule="atLeast"/>
      <w:ind w:left="719" w:firstLine="481"/>
      <w:jc w:val="left"/>
    </w:pPr>
    <w:rPr>
      <w:rFonts w:hint="eastAsia" w:ascii="宋体"/>
      <w:color w:val="000000"/>
      <w:kern w:val="0"/>
      <w:sz w:val="24"/>
      <w:u w:color="000000"/>
    </w:rPr>
  </w:style>
  <w:style w:type="character" w:customStyle="1" w:styleId="18">
    <w:name w:val="标题 2 字符"/>
    <w:basedOn w:val="13"/>
    <w:link w:val="2"/>
    <w:qFormat/>
    <w:uiPriority w:val="0"/>
    <w:rPr>
      <w:rFonts w:hint="default" w:ascii="Arial" w:hAnsi="Arial" w:eastAsia="黑体" w:cs="Arial"/>
      <w:b/>
      <w:sz w:val="30"/>
    </w:rPr>
  </w:style>
  <w:style w:type="character" w:customStyle="1" w:styleId="19">
    <w:name w:val="标题 3 字符"/>
    <w:basedOn w:val="13"/>
    <w:link w:val="3"/>
    <w:qFormat/>
    <w:uiPriority w:val="0"/>
    <w:rPr>
      <w:rFonts w:hint="eastAsia" w:ascii="宋体" w:hAnsi="Times New Roman" w:eastAsia="宋体" w:cs="宋体"/>
      <w:b/>
      <w:sz w:val="24"/>
      <w:u w:val="single"/>
    </w:rPr>
  </w:style>
  <w:style w:type="character" w:customStyle="1" w:styleId="20">
    <w:name w:val="纯文本 字符"/>
    <w:basedOn w:val="13"/>
    <w:link w:val="6"/>
    <w:qFormat/>
    <w:uiPriority w:val="0"/>
    <w:rPr>
      <w:rFonts w:hint="eastAsia" w:ascii="宋体" w:hAnsi="Courier New" w:eastAsia="宋体" w:cs="宋体"/>
      <w:kern w:val="2"/>
      <w:sz w:val="21"/>
      <w:szCs w:val="21"/>
    </w:rPr>
  </w:style>
  <w:style w:type="character" w:customStyle="1" w:styleId="21">
    <w:name w:val="页脚 字符"/>
    <w:basedOn w:val="13"/>
    <w:link w:val="8"/>
    <w:qFormat/>
    <w:uiPriority w:val="99"/>
    <w:rPr>
      <w:rFonts w:hint="eastAsia" w:ascii="等线" w:hAnsi="等线" w:eastAsia="等线" w:cs="Times New Roman"/>
      <w:kern w:val="2"/>
      <w:sz w:val="18"/>
      <w:szCs w:val="18"/>
    </w:rPr>
  </w:style>
  <w:style w:type="character" w:customStyle="1" w:styleId="22">
    <w:name w:val="批注主题 字符"/>
    <w:basedOn w:val="15"/>
    <w:link w:val="11"/>
    <w:qFormat/>
    <w:uiPriority w:val="0"/>
    <w:rPr>
      <w:rFonts w:hint="default" w:ascii="Times New Roman" w:hAnsi="Times New Roman" w:eastAsia="宋体" w:cs="Times New Roman"/>
      <w:b/>
      <w:bCs/>
      <w:kern w:val="2"/>
      <w:sz w:val="21"/>
    </w:rPr>
  </w:style>
  <w:style w:type="character" w:customStyle="1" w:styleId="23">
    <w:name w:val="批注框文本 字符"/>
    <w:basedOn w:val="13"/>
    <w:link w:val="7"/>
    <w:qFormat/>
    <w:uiPriority w:val="0"/>
    <w:rPr>
      <w:rFonts w:ascii="Times New Roman" w:hAnsi="Times New Roman" w:eastAsia="宋体" w:cs="Times New Roman"/>
      <w:kern w:val="2"/>
      <w:sz w:val="18"/>
      <w:szCs w:val="18"/>
    </w:rPr>
  </w:style>
  <w:style w:type="paragraph" w:customStyle="1" w:styleId="24">
    <w:name w:val="修订1"/>
    <w:hidden/>
    <w:unhideWhenUsed/>
    <w:qFormat/>
    <w:uiPriority w:val="99"/>
    <w:rPr>
      <w:rFonts w:ascii="Times New Roman" w:hAnsi="Times New Roman" w:eastAsia="宋体" w:cs="Times New Roman"/>
      <w:kern w:val="2"/>
      <w:sz w:val="21"/>
      <w:lang w:val="en-US" w:eastAsia="zh-CN" w:bidi="ar-SA"/>
    </w:rPr>
  </w:style>
  <w:style w:type="paragraph" w:customStyle="1" w:styleId="25">
    <w:name w:val="Revision"/>
    <w:hidden/>
    <w:unhideWhenUsed/>
    <w:qFormat/>
    <w:uiPriority w:val="99"/>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3.jpeg"/><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7"/>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19</Pages>
  <Words>6104</Words>
  <Characters>6485</Characters>
  <Lines>58</Lines>
  <Paragraphs>16</Paragraphs>
  <TotalTime>3</TotalTime>
  <ScaleCrop>false</ScaleCrop>
  <LinksUpToDate>false</LinksUpToDate>
  <CharactersWithSpaces>7487</CharactersWithSpaces>
  <Application>WPS Office_12.1.0.26899_F1E327BC-269C-435d-A152-05C5408002CA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2021-06-11T10:01:00Z</dcterms:created>
  <dc:creator>DC</dc:creator>
  <cp:lastModifiedBy>朱凌宇</cp:lastModifiedBy>
  <dcterms:modified xsi:type="dcterms:W3CDTF">2026-09-15T02:20:02Z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2052-12.1.0.26899</vt:lpwstr>
  </property>
  <property fmtid="{D5CDD505-2E9C-101B-9397-08002B2CF9AE}" pid="3" name="ICV">
    <vt:lpwstr>77F7259DD13C4203A1A0E19122858109</vt:lpwstr>
  </property>
  <property fmtid="{D5CDD505-2E9C-101B-9397-08002B2CF9AE}" pid="4" name="KSOTemplateDocerSaveRecord">
    <vt:lpwstr>eyJoZGlkIjoiODE0ZWUwZDg2ZGEzY2JmZmU4ZThlM2NhNGE5N2U2ZTUiLCJ1c2VySWQiOiIyMjY5MzI2MzQifQ==</vt:lpwstr>
  </property>
</Properties>
</file>